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2797175</wp:posOffset>
            </wp:positionH>
            <wp:positionV relativeFrom="paragraph">
              <wp:posOffset>-394335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:rsidR="00344C2F" w:rsidRPr="00344C2F" w:rsidRDefault="00C11658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ПРОЕКТ </w:t>
      </w:r>
      <w:r w:rsidR="00344C2F"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>Я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пгт. Пойковский</w:t>
      </w:r>
    </w:p>
    <w:p w:rsidR="00344C2F" w:rsidRPr="00344C2F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344C2F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О внесении изменений в постановление Администрации городского поселения Пойковский от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31.10.2016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№ </w:t>
      </w: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448-п</w:t>
      </w:r>
    </w:p>
    <w:p w:rsidR="00344C2F" w:rsidRPr="00344C2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4C2F" w:rsidRPr="00344C2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0E18" w:rsidRPr="00420E18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20E18">
        <w:rPr>
          <w:rFonts w:ascii="Arial" w:eastAsia="Times New Roman" w:hAnsi="Arial" w:cs="Arial"/>
          <w:sz w:val="26"/>
          <w:szCs w:val="26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</w:t>
      </w:r>
      <w:bookmarkStart w:id="0" w:name="_GoBack"/>
      <w:bookmarkEnd w:id="0"/>
      <w:r w:rsidRPr="00420E18">
        <w:rPr>
          <w:rFonts w:ascii="Arial" w:eastAsia="Times New Roman" w:hAnsi="Arial" w:cs="Arial"/>
          <w:sz w:val="26"/>
          <w:szCs w:val="26"/>
          <w:lang w:eastAsia="ru-RU"/>
        </w:rPr>
        <w:t>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>
        <w:rPr>
          <w:rFonts w:ascii="Arial" w:eastAsia="Times New Roman" w:hAnsi="Arial" w:cs="Arial"/>
          <w:sz w:val="26"/>
          <w:szCs w:val="26"/>
          <w:lang w:eastAsia="ru-RU"/>
        </w:rPr>
        <w:t xml:space="preserve"> (в редакции от 27.02.2017 № 45-п)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344C2F" w:rsidRPr="00344C2F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344C2F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«Об утверждении муниципальной программы </w:t>
      </w:r>
      <w:r w:rsidR="00344C2F" w:rsidRPr="00344C2F">
        <w:rPr>
          <w:rFonts w:ascii="Arial" w:eastAsia="Times New Roman" w:hAnsi="Arial" w:cs="Arial"/>
          <w:bCs/>
          <w:sz w:val="26"/>
          <w:szCs w:val="26"/>
          <w:lang w:eastAsia="ru-RU"/>
        </w:rPr>
        <w:t>«</w:t>
      </w:r>
      <w:r w:rsidR="00344C2F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на </w:t>
      </w:r>
      <w:r w:rsidR="00344C2F" w:rsidRPr="00344C2F">
        <w:rPr>
          <w:rFonts w:ascii="Arial" w:eastAsia="Times New Roman" w:hAnsi="Arial" w:cs="Arial"/>
          <w:bCs/>
          <w:sz w:val="26"/>
          <w:szCs w:val="26"/>
          <w:lang w:eastAsia="ru-RU"/>
        </w:rPr>
        <w:t>20</w:t>
      </w:r>
      <w:r w:rsidR="00344C2F">
        <w:rPr>
          <w:rFonts w:ascii="Arial" w:eastAsia="Times New Roman" w:hAnsi="Arial" w:cs="Arial"/>
          <w:bCs/>
          <w:sz w:val="26"/>
          <w:szCs w:val="26"/>
          <w:lang w:eastAsia="ru-RU"/>
        </w:rPr>
        <w:t>17 – 2020 годы</w:t>
      </w:r>
      <w:r w:rsidR="00344C2F" w:rsidRPr="00344C2F">
        <w:rPr>
          <w:rFonts w:ascii="Arial" w:eastAsia="Times New Roman" w:hAnsi="Arial" w:cs="Arial"/>
          <w:bCs/>
          <w:sz w:val="26"/>
          <w:szCs w:val="26"/>
          <w:lang w:eastAsia="ru-RU"/>
        </w:rPr>
        <w:t>»</w:t>
      </w:r>
      <w:r w:rsidR="00055BA4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(в ред. от 03.04.2017 №99-п</w:t>
      </w:r>
      <w:r w:rsidR="00EF076C">
        <w:rPr>
          <w:rFonts w:ascii="Arial" w:eastAsia="Times New Roman" w:hAnsi="Arial" w:cs="Arial"/>
          <w:bCs/>
          <w:sz w:val="26"/>
          <w:szCs w:val="26"/>
          <w:lang w:eastAsia="ru-RU"/>
        </w:rPr>
        <w:t>; от 25.07.2017 №281-п</w:t>
      </w:r>
      <w:r w:rsidR="003830D0">
        <w:rPr>
          <w:rFonts w:ascii="Arial" w:eastAsia="Times New Roman" w:hAnsi="Arial" w:cs="Arial"/>
          <w:bCs/>
          <w:sz w:val="26"/>
          <w:szCs w:val="26"/>
          <w:lang w:eastAsia="ru-RU"/>
        </w:rPr>
        <w:t>, от 21.12.2017 №609-п</w:t>
      </w:r>
      <w:r w:rsidR="00055BA4">
        <w:rPr>
          <w:rFonts w:ascii="Arial" w:eastAsia="Times New Roman" w:hAnsi="Arial" w:cs="Arial"/>
          <w:bCs/>
          <w:sz w:val="26"/>
          <w:szCs w:val="26"/>
          <w:lang w:eastAsia="ru-RU"/>
        </w:rPr>
        <w:t>)</w:t>
      </w:r>
      <w:r w:rsidR="00344C2F" w:rsidRPr="00344C2F">
        <w:rPr>
          <w:rFonts w:ascii="Arial" w:eastAsia="Times New Roman" w:hAnsi="Arial" w:cs="Arial"/>
          <w:sz w:val="26"/>
          <w:szCs w:val="26"/>
          <w:lang w:eastAsia="ru-RU"/>
        </w:rPr>
        <w:t>, согласно приложению.</w:t>
      </w:r>
    </w:p>
    <w:p w:rsidR="00344C2F" w:rsidRPr="00344C2F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Настоящее постановление подлежит обязательному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420E18" w:rsidRPr="00420E18" w:rsidRDefault="00420E18" w:rsidP="009867BC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20E18">
        <w:rPr>
          <w:rFonts w:ascii="Arial" w:eastAsia="Times New Roman" w:hAnsi="Arial" w:cs="Arial"/>
          <w:sz w:val="26"/>
          <w:szCs w:val="26"/>
          <w:lang w:eastAsia="ru-RU"/>
        </w:rPr>
        <w:t xml:space="preserve">Настоящее постановление вступает в силу после официального опубликования и </w:t>
      </w:r>
      <w:r w:rsidR="00C46BD6">
        <w:rPr>
          <w:rFonts w:ascii="Arial" w:eastAsia="Times New Roman" w:hAnsi="Arial" w:cs="Arial"/>
          <w:sz w:val="26"/>
          <w:szCs w:val="26"/>
          <w:lang w:eastAsia="ru-RU"/>
        </w:rPr>
        <w:t>(обнародования)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344C2F" w:rsidRPr="00344C2F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Контроль за выполнением постановления оставляю за собой. </w:t>
      </w:r>
    </w:p>
    <w:p w:rsidR="00344C2F" w:rsidRDefault="00344C2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935AF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44C2F" w:rsidRDefault="00A07A0B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344C2F" w:rsidSect="00A66AE6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  <w:r w:rsidRPr="00A07A0B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</w:t>
      </w:r>
      <w:r>
        <w:rPr>
          <w:rFonts w:ascii="Arial" w:eastAsia="Times New Roman" w:hAnsi="Arial" w:cs="Arial"/>
          <w:sz w:val="26"/>
          <w:szCs w:val="26"/>
          <w:lang w:eastAsia="ru-RU"/>
        </w:rPr>
        <w:t>селения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>Б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очко</w:t>
      </w:r>
    </w:p>
    <w:p w:rsidR="00C301F1" w:rsidRPr="00BB4B8A" w:rsidRDefault="00C301F1" w:rsidP="00344C2F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C301F1" w:rsidRPr="00BB4B8A" w:rsidRDefault="0020425D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>
        <w:rPr>
          <w:rFonts w:ascii="Arial" w:hAnsi="Arial" w:cs="Arial"/>
          <w:sz w:val="26"/>
          <w:szCs w:val="26"/>
        </w:rPr>
        <w:t>ю</w:t>
      </w:r>
      <w:r w:rsidR="00C301F1" w:rsidRPr="00BB4B8A">
        <w:rPr>
          <w:rFonts w:ascii="Arial" w:hAnsi="Arial" w:cs="Arial"/>
          <w:sz w:val="26"/>
          <w:szCs w:val="26"/>
        </w:rPr>
        <w:t xml:space="preserve"> </w:t>
      </w:r>
    </w:p>
    <w:p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 xml:space="preserve">Администрации городского </w:t>
      </w:r>
    </w:p>
    <w:p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>поселения Пойковский</w:t>
      </w:r>
    </w:p>
    <w:p w:rsidR="00C301F1" w:rsidRPr="00BB4B8A" w:rsidRDefault="00C301F1" w:rsidP="00C301F1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  <w:u w:val="single"/>
        </w:rPr>
        <w:t>от «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 w:rsidRPr="00BB4B8A">
        <w:rPr>
          <w:rFonts w:ascii="Arial" w:hAnsi="Arial" w:cs="Arial"/>
          <w:sz w:val="26"/>
          <w:szCs w:val="26"/>
          <w:u w:val="single"/>
        </w:rPr>
        <w:t>»</w:t>
      </w:r>
      <w:r>
        <w:rPr>
          <w:rFonts w:ascii="Arial" w:hAnsi="Arial" w:cs="Arial"/>
          <w:sz w:val="26"/>
          <w:szCs w:val="26"/>
          <w:u w:val="single"/>
        </w:rPr>
        <w:tab/>
      </w:r>
      <w:r w:rsidRPr="00BB4B8A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  <w:t xml:space="preserve"> </w:t>
      </w:r>
    </w:p>
    <w:p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0B53D4" w:rsidRPr="00C301F1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C62CEA">
              <w:rPr>
                <w:rFonts w:ascii="Arial" w:hAnsi="Arial" w:cs="Arial"/>
                <w:sz w:val="26"/>
                <w:szCs w:val="26"/>
              </w:rPr>
              <w:t>«Развитие информационной среды и поддержание в рабочем состоянии средств вычислительной техники</w:t>
            </w:r>
            <w:r w:rsidRPr="001A1A9C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муниципальных учреждений городского поселения Пойковский на 201</w:t>
            </w:r>
            <w:r w:rsidRPr="00297B94">
              <w:rPr>
                <w:rFonts w:ascii="Arial" w:hAnsi="Arial" w:cs="Arial"/>
                <w:sz w:val="26"/>
                <w:szCs w:val="26"/>
              </w:rPr>
              <w:t>7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297B94">
              <w:rPr>
                <w:rFonts w:ascii="Arial" w:hAnsi="Arial" w:cs="Arial"/>
                <w:sz w:val="26"/>
                <w:szCs w:val="26"/>
              </w:rPr>
              <w:t>20</w:t>
            </w:r>
            <w:r>
              <w:rPr>
                <w:rFonts w:ascii="Arial" w:hAnsi="Arial" w:cs="Arial"/>
                <w:sz w:val="26"/>
                <w:szCs w:val="26"/>
              </w:rPr>
              <w:t xml:space="preserve"> годы»</w:t>
            </w:r>
          </w:p>
        </w:tc>
      </w:tr>
      <w:tr w:rsidR="000B53D4" w:rsidRPr="00616BC0" w:rsidTr="001C1BBF">
        <w:trPr>
          <w:trHeight w:val="625"/>
        </w:trPr>
        <w:tc>
          <w:tcPr>
            <w:tcW w:w="3794" w:type="dxa"/>
          </w:tcPr>
          <w:p w:rsidR="000B53D4" w:rsidRPr="00616BC0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0B53D4" w:rsidRPr="00C978F6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5C0B0C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№448-п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0B53D4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BB4B8A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FD2C90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B2712C">
              <w:rPr>
                <w:rFonts w:ascii="Arial" w:hAnsi="Arial" w:cs="Arial"/>
                <w:sz w:val="26"/>
                <w:szCs w:val="26"/>
              </w:rPr>
              <w:t>МКУ «Служба ЖКХ и благоустройства гп. Пойковский»</w:t>
            </w:r>
            <w:r w:rsidR="00FD2C90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:rsidR="00823F6D" w:rsidRPr="00297B94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Обеспечение бесперебойной </w:t>
            </w:r>
            <w:r w:rsidRPr="005A16FD">
              <w:rPr>
                <w:rFonts w:ascii="Arial" w:hAnsi="Arial" w:cs="Arial"/>
                <w:sz w:val="26"/>
                <w:szCs w:val="26"/>
              </w:rPr>
              <w:t>работы</w:t>
            </w:r>
            <w:r>
              <w:rPr>
                <w:rFonts w:ascii="Arial" w:hAnsi="Arial" w:cs="Arial"/>
                <w:sz w:val="26"/>
                <w:szCs w:val="26"/>
              </w:rPr>
              <w:t xml:space="preserve"> средств вычислительной техники, компьютерных сетей.</w:t>
            </w:r>
            <w:r w:rsidR="00D3643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0B53D4" w:rsidRPr="00297B94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1EE5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:rsidR="00340547" w:rsidRPr="003B1EE5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:rsidR="000B53D4" w:rsidRPr="00616BC0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CA5A74" w:rsidRPr="00CA5A74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A5A74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:rsidR="008A3889" w:rsidRPr="00356644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A3889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>
              <w:rPr>
                <w:rFonts w:ascii="Arial" w:hAnsi="Arial" w:cs="Arial"/>
                <w:sz w:val="26"/>
                <w:szCs w:val="26"/>
              </w:rPr>
              <w:t>100</w:t>
            </w:r>
            <w:r w:rsidRPr="008A3889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297B94" w:rsidRDefault="000B53D4" w:rsidP="009C48E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2017 – 2020 </w:t>
            </w:r>
            <w:r>
              <w:rPr>
                <w:rFonts w:ascii="Arial" w:hAnsi="Arial" w:cs="Arial"/>
                <w:sz w:val="26"/>
                <w:szCs w:val="26"/>
              </w:rPr>
              <w:t>годы</w:t>
            </w:r>
          </w:p>
        </w:tc>
      </w:tr>
      <w:tr w:rsidR="004B79FF" w:rsidRPr="00616BC0" w:rsidTr="00451A68">
        <w:trPr>
          <w:trHeight w:val="43"/>
        </w:trPr>
        <w:tc>
          <w:tcPr>
            <w:tcW w:w="3794" w:type="dxa"/>
            <w:vMerge w:val="restart"/>
          </w:tcPr>
          <w:p w:rsidR="004B79FF" w:rsidRPr="00616BC0" w:rsidRDefault="004B79FF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4B79FF" w:rsidRPr="00616BC0" w:rsidRDefault="004B79FF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:rsidR="004B79FF" w:rsidRPr="009B3E58" w:rsidRDefault="004B79FF" w:rsidP="00F51FC1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826" w:type="dxa"/>
            <w:vAlign w:val="center"/>
          </w:tcPr>
          <w:p w:rsidR="004B79FF" w:rsidRPr="00DF3729" w:rsidRDefault="00C11658" w:rsidP="00B172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16 432,63608</w:t>
            </w:r>
            <w:r w:rsidR="00B86472" w:rsidRPr="00DF3729">
              <w:rPr>
                <w:rFonts w:ascii="Arial" w:hAnsi="Arial" w:cs="Arial"/>
                <w:b/>
              </w:rPr>
              <w:t xml:space="preserve">   </w:t>
            </w:r>
          </w:p>
        </w:tc>
      </w:tr>
      <w:tr w:rsidR="004B79FF" w:rsidRPr="00616BC0" w:rsidTr="00FC113A">
        <w:trPr>
          <w:trHeight w:val="31"/>
        </w:trPr>
        <w:tc>
          <w:tcPr>
            <w:tcW w:w="3794" w:type="dxa"/>
            <w:vMerge/>
          </w:tcPr>
          <w:p w:rsidR="004B79FF" w:rsidRPr="00616BC0" w:rsidRDefault="004B79FF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4B79FF" w:rsidRPr="009B3E58" w:rsidRDefault="004B79FF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2017 год</w:t>
            </w:r>
          </w:p>
        </w:tc>
        <w:tc>
          <w:tcPr>
            <w:tcW w:w="2826" w:type="dxa"/>
          </w:tcPr>
          <w:p w:rsidR="004B79FF" w:rsidRPr="00DF3729" w:rsidRDefault="00B172C1" w:rsidP="00055BA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>4 711,07914</w:t>
            </w:r>
            <w:r w:rsidR="00B86472" w:rsidRPr="00DF3729">
              <w:rPr>
                <w:rFonts w:ascii="Arial" w:hAnsi="Arial" w:cs="Arial"/>
              </w:rPr>
              <w:t xml:space="preserve">   </w:t>
            </w:r>
            <w:r w:rsidR="00C17D42" w:rsidRPr="00DF3729">
              <w:rPr>
                <w:rFonts w:ascii="Arial" w:hAnsi="Arial" w:cs="Arial"/>
              </w:rPr>
              <w:t xml:space="preserve">   </w:t>
            </w:r>
          </w:p>
        </w:tc>
      </w:tr>
      <w:tr w:rsidR="004B79FF" w:rsidRPr="00616BC0" w:rsidTr="00FC113A">
        <w:trPr>
          <w:trHeight w:val="31"/>
        </w:trPr>
        <w:tc>
          <w:tcPr>
            <w:tcW w:w="3794" w:type="dxa"/>
            <w:vMerge/>
          </w:tcPr>
          <w:p w:rsidR="004B79FF" w:rsidRPr="00616BC0" w:rsidRDefault="004B79FF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4B79FF" w:rsidRPr="009B3E58" w:rsidRDefault="004B79FF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2018 год</w:t>
            </w:r>
          </w:p>
        </w:tc>
        <w:tc>
          <w:tcPr>
            <w:tcW w:w="2826" w:type="dxa"/>
          </w:tcPr>
          <w:p w:rsidR="004B79FF" w:rsidRPr="00DF3729" w:rsidRDefault="00C1165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3 454,55694</w:t>
            </w:r>
            <w:r w:rsidR="00C17D42" w:rsidRPr="00DF3729">
              <w:rPr>
                <w:rFonts w:ascii="Arial" w:hAnsi="Arial" w:cs="Arial"/>
              </w:rPr>
              <w:t xml:space="preserve">   </w:t>
            </w:r>
          </w:p>
        </w:tc>
      </w:tr>
      <w:tr w:rsidR="004B79FF" w:rsidRPr="00616BC0" w:rsidTr="00FC113A">
        <w:trPr>
          <w:trHeight w:val="31"/>
        </w:trPr>
        <w:tc>
          <w:tcPr>
            <w:tcW w:w="3794" w:type="dxa"/>
            <w:vMerge/>
          </w:tcPr>
          <w:p w:rsidR="004B79FF" w:rsidRPr="00616BC0" w:rsidRDefault="004B79FF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4B79FF" w:rsidRPr="009B3E58" w:rsidRDefault="004B79FF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4B79FF" w:rsidRPr="00DF3729" w:rsidRDefault="004B79FF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 xml:space="preserve">3 264,00000   </w:t>
            </w:r>
          </w:p>
        </w:tc>
      </w:tr>
      <w:tr w:rsidR="004B79FF" w:rsidRPr="00616BC0" w:rsidTr="00FC113A">
        <w:trPr>
          <w:trHeight w:val="31"/>
        </w:trPr>
        <w:tc>
          <w:tcPr>
            <w:tcW w:w="3794" w:type="dxa"/>
            <w:vMerge/>
          </w:tcPr>
          <w:p w:rsidR="004B79FF" w:rsidRPr="00616BC0" w:rsidRDefault="004B79FF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4B79FF" w:rsidRPr="009B3E58" w:rsidRDefault="004B79FF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C6331A" w:rsidRPr="00C6331A" w:rsidRDefault="004B79FF" w:rsidP="00C6331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lang w:val="en-US"/>
              </w:rPr>
            </w:pPr>
            <w:r w:rsidRPr="004B79FF">
              <w:rPr>
                <w:rFonts w:ascii="Arial" w:hAnsi="Arial" w:cs="Arial"/>
              </w:rPr>
              <w:t>5 003,00000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C6331A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C6331A"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2826" w:type="dxa"/>
          </w:tcPr>
          <w:p w:rsidR="00C6331A" w:rsidRPr="009B3E58" w:rsidRDefault="00C6331A" w:rsidP="0058767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9B3E58">
              <w:rPr>
                <w:rFonts w:ascii="Arial" w:hAnsi="Arial" w:cs="Arial"/>
                <w:b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587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2826" w:type="dxa"/>
          </w:tcPr>
          <w:p w:rsidR="00C6331A" w:rsidRPr="009B3E58" w:rsidRDefault="00C6331A" w:rsidP="0058767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587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2826" w:type="dxa"/>
          </w:tcPr>
          <w:p w:rsidR="00C6331A" w:rsidRPr="009B3E58" w:rsidRDefault="00C6331A" w:rsidP="0058767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587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2826" w:type="dxa"/>
          </w:tcPr>
          <w:p w:rsidR="00C6331A" w:rsidRPr="009B3E58" w:rsidRDefault="00C6331A" w:rsidP="0058767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587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2826" w:type="dxa"/>
          </w:tcPr>
          <w:p w:rsidR="00C6331A" w:rsidRPr="009B3E58" w:rsidRDefault="00C6331A" w:rsidP="0058767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9B3E58">
              <w:rPr>
                <w:rFonts w:ascii="Arial" w:hAnsi="Arial" w:cs="Arial"/>
                <w:b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2826" w:type="dxa"/>
          </w:tcPr>
          <w:p w:rsidR="00C6331A" w:rsidRPr="009B3E58" w:rsidRDefault="00C6331A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1 320</w:t>
            </w:r>
            <w:r w:rsidRPr="009B3E58">
              <w:rPr>
                <w:rFonts w:ascii="Arial" w:hAnsi="Arial" w:cs="Arial"/>
                <w:b/>
              </w:rPr>
              <w:t>,0</w:t>
            </w:r>
            <w:r>
              <w:rPr>
                <w:rFonts w:ascii="Arial" w:hAnsi="Arial" w:cs="Arial"/>
                <w:b/>
              </w:rPr>
              <w:t>5955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2826" w:type="dxa"/>
          </w:tcPr>
          <w:p w:rsidR="00C6331A" w:rsidRPr="009B3E58" w:rsidRDefault="00C6331A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1 320</w:t>
            </w:r>
            <w:r w:rsidRPr="009B3E58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05955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2826" w:type="dxa"/>
          </w:tcPr>
          <w:p w:rsidR="00C6331A" w:rsidRPr="00DF3729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2826" w:type="dxa"/>
          </w:tcPr>
          <w:p w:rsidR="00C6331A" w:rsidRPr="00DF3729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451A68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2826" w:type="dxa"/>
            <w:vAlign w:val="center"/>
          </w:tcPr>
          <w:p w:rsidR="00C6331A" w:rsidRPr="00DF3729" w:rsidRDefault="00C11658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15 112,57653</w:t>
            </w:r>
            <w:r w:rsidR="00C6331A" w:rsidRPr="00DF3729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2826" w:type="dxa"/>
          </w:tcPr>
          <w:p w:rsidR="00C6331A" w:rsidRPr="00DF3729" w:rsidRDefault="00B172C1" w:rsidP="00055BA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>3 391,01959</w:t>
            </w:r>
            <w:r w:rsidR="00C6331A" w:rsidRPr="00DF3729">
              <w:rPr>
                <w:rFonts w:ascii="Arial" w:hAnsi="Arial" w:cs="Arial"/>
              </w:rPr>
              <w:t xml:space="preserve"> 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2826" w:type="dxa"/>
          </w:tcPr>
          <w:p w:rsidR="00C6331A" w:rsidRPr="00DF3729" w:rsidRDefault="00C1165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3 454,55694</w:t>
            </w:r>
            <w:r w:rsidR="00C6331A" w:rsidRPr="00DF3729">
              <w:rPr>
                <w:rFonts w:ascii="Arial" w:hAnsi="Arial" w:cs="Arial"/>
              </w:rPr>
              <w:t xml:space="preserve">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2826" w:type="dxa"/>
          </w:tcPr>
          <w:p w:rsidR="00C6331A" w:rsidRPr="00DF3729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 xml:space="preserve">3 264,00000 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2826" w:type="dxa"/>
          </w:tcPr>
          <w:p w:rsidR="00C6331A" w:rsidRPr="00DF3729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 xml:space="preserve">5 003,00000 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2826" w:type="dxa"/>
          </w:tcPr>
          <w:p w:rsidR="00C6331A" w:rsidRPr="00DF3729" w:rsidRDefault="00393E5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C6331A" w:rsidRPr="00DF3729">
              <w:rPr>
                <w:rFonts w:ascii="Arial" w:hAnsi="Arial" w:cs="Arial"/>
                <w:b/>
              </w:rPr>
              <w:t xml:space="preserve">,00000 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2826" w:type="dxa"/>
          </w:tcPr>
          <w:p w:rsidR="00C6331A" w:rsidRPr="009B3E58" w:rsidRDefault="00393E5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C6331A" w:rsidRPr="009B3E58">
              <w:rPr>
                <w:rFonts w:ascii="Arial" w:hAnsi="Arial" w:cs="Arial"/>
              </w:rPr>
              <w:t>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</w:tbl>
    <w:p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 201</w:t>
      </w:r>
      <w:r w:rsidR="00CC305D" w:rsidRPr="00297B94">
        <w:rPr>
          <w:rFonts w:ascii="Arial" w:hAnsi="Arial" w:cs="Arial"/>
          <w:sz w:val="26"/>
          <w:szCs w:val="26"/>
        </w:rPr>
        <w:t>7</w:t>
      </w:r>
      <w:r w:rsidR="00CC305D">
        <w:rPr>
          <w:rFonts w:ascii="Arial" w:hAnsi="Arial" w:cs="Arial"/>
          <w:sz w:val="26"/>
          <w:szCs w:val="26"/>
        </w:rPr>
        <w:t>-20</w:t>
      </w:r>
      <w:r w:rsidR="00CC305D" w:rsidRPr="00297B94">
        <w:rPr>
          <w:rFonts w:ascii="Arial" w:hAnsi="Arial" w:cs="Arial"/>
          <w:sz w:val="26"/>
          <w:szCs w:val="26"/>
        </w:rPr>
        <w:t>20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№408-п «Об утверждении перечня муниципальных программ городского поселения Пойковский». 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бюджетное послание Президента Российской Федерации Федеральному собранию о бюджетной политике;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-Устав муниципального образования городское поселение Пойковский;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Пойковский»;</w:t>
      </w:r>
    </w:p>
    <w:p w:rsidR="00420E18" w:rsidRPr="005E4D3C" w:rsidRDefault="00420E18" w:rsidP="00FD2C90">
      <w:pPr>
        <w:autoSpaceDE w:val="0"/>
        <w:autoSpaceDN w:val="0"/>
        <w:adjustRightInd w:val="0"/>
        <w:spacing w:after="0" w:line="240" w:lineRule="auto"/>
        <w:jc w:val="both"/>
        <w:rPr>
          <w:b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- распоряжение Администрации городского поселения Пойковский от 13.10.2016 № 518-р «Об основных направлениях бюджетной политики и основных направлениях налоговой политики муниципального образования </w:t>
      </w:r>
      <w:r w:rsidRPr="00420E18">
        <w:rPr>
          <w:rFonts w:ascii="Arial" w:eastAsia="Calibri" w:hAnsi="Arial" w:cs="Arial"/>
          <w:sz w:val="26"/>
          <w:szCs w:val="26"/>
        </w:rPr>
        <w:lastRenderedPageBreak/>
        <w:t>городское поселение Пойковский на 2017 год и плановый период 2018-2019 годов».</w:t>
      </w:r>
    </w:p>
    <w:p w:rsidR="006F6B20" w:rsidRDefault="00CA5A7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6F6B20" w:rsidRDefault="006F6B20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lastRenderedPageBreak/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области размещения муниципального заказа на поставку товаров, выполнение работ, оказание услуг для обеспечения муниципальных нужд в</w:t>
      </w: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 рамках реализации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требованиями действующего законодательства Российской Федерации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в сфере закупки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. 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 w15:restartNumberingAfterBreak="0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6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B53D4"/>
    <w:rsid w:val="001173CE"/>
    <w:rsid w:val="001746F3"/>
    <w:rsid w:val="001935AF"/>
    <w:rsid w:val="001C1BBF"/>
    <w:rsid w:val="001D5406"/>
    <w:rsid w:val="0020425D"/>
    <w:rsid w:val="00297B94"/>
    <w:rsid w:val="002D3323"/>
    <w:rsid w:val="002F5723"/>
    <w:rsid w:val="00340547"/>
    <w:rsid w:val="00344C2F"/>
    <w:rsid w:val="00355D58"/>
    <w:rsid w:val="00356644"/>
    <w:rsid w:val="003830D0"/>
    <w:rsid w:val="00393E59"/>
    <w:rsid w:val="00395FEC"/>
    <w:rsid w:val="003B1EE5"/>
    <w:rsid w:val="003E7A9B"/>
    <w:rsid w:val="00420E18"/>
    <w:rsid w:val="00451A68"/>
    <w:rsid w:val="004720A7"/>
    <w:rsid w:val="004B79FF"/>
    <w:rsid w:val="004E294D"/>
    <w:rsid w:val="00551AF0"/>
    <w:rsid w:val="0058392A"/>
    <w:rsid w:val="005C0B0C"/>
    <w:rsid w:val="005E4D3C"/>
    <w:rsid w:val="005F1B9D"/>
    <w:rsid w:val="005F2DFF"/>
    <w:rsid w:val="00616BC0"/>
    <w:rsid w:val="00656821"/>
    <w:rsid w:val="0067278E"/>
    <w:rsid w:val="00695871"/>
    <w:rsid w:val="006A0753"/>
    <w:rsid w:val="006F6B20"/>
    <w:rsid w:val="0081131D"/>
    <w:rsid w:val="00823F6D"/>
    <w:rsid w:val="008419FD"/>
    <w:rsid w:val="00853575"/>
    <w:rsid w:val="008A3889"/>
    <w:rsid w:val="009867BC"/>
    <w:rsid w:val="009C48E5"/>
    <w:rsid w:val="00A07A0B"/>
    <w:rsid w:val="00A57E79"/>
    <w:rsid w:val="00A66AE6"/>
    <w:rsid w:val="00A861D5"/>
    <w:rsid w:val="00B172C1"/>
    <w:rsid w:val="00B53AA7"/>
    <w:rsid w:val="00B86472"/>
    <w:rsid w:val="00C11658"/>
    <w:rsid w:val="00C17D42"/>
    <w:rsid w:val="00C301F1"/>
    <w:rsid w:val="00C46BD6"/>
    <w:rsid w:val="00C6331A"/>
    <w:rsid w:val="00C724C7"/>
    <w:rsid w:val="00C978F6"/>
    <w:rsid w:val="00CA5A74"/>
    <w:rsid w:val="00CC1A9F"/>
    <w:rsid w:val="00CC305D"/>
    <w:rsid w:val="00CE055A"/>
    <w:rsid w:val="00D01AAD"/>
    <w:rsid w:val="00D23FE5"/>
    <w:rsid w:val="00D36439"/>
    <w:rsid w:val="00D45254"/>
    <w:rsid w:val="00D76239"/>
    <w:rsid w:val="00DA01E8"/>
    <w:rsid w:val="00DF3729"/>
    <w:rsid w:val="00DF3CC3"/>
    <w:rsid w:val="00E071A1"/>
    <w:rsid w:val="00E77EDE"/>
    <w:rsid w:val="00EE097D"/>
    <w:rsid w:val="00EF076C"/>
    <w:rsid w:val="00F173D0"/>
    <w:rsid w:val="00F26847"/>
    <w:rsid w:val="00F46354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DFDF8-0E6A-4DAB-AFF5-C1408093D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9F4A-A21E-49E8-9213-98704156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2669</TotalTime>
  <Pages>6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Сафина Т А</cp:lastModifiedBy>
  <cp:revision>32</cp:revision>
  <cp:lastPrinted>2018-12-18T05:23:00Z</cp:lastPrinted>
  <dcterms:created xsi:type="dcterms:W3CDTF">2016-11-01T11:14:00Z</dcterms:created>
  <dcterms:modified xsi:type="dcterms:W3CDTF">2018-12-18T05:23:00Z</dcterms:modified>
</cp:coreProperties>
</file>