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E72795" w14:paraId="3239AE7F" w14:textId="77777777" w:rsidTr="00DD4DC4">
        <w:trPr>
          <w:trHeight w:val="14171"/>
        </w:trPr>
        <w:tc>
          <w:tcPr>
            <w:tcW w:w="9464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745C0C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721BBBA5" w:rsidR="00E72795" w:rsidRPr="00371B77" w:rsidRDefault="00145C3A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3165AAC6" w14:textId="77777777"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24553424" w14:textId="77777777"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5BB0F832" w14:textId="46AFA5CF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,от 29.03.2019 №234-п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5D4C5B">
              <w:rPr>
                <w:rFonts w:ascii="Arial" w:hAnsi="Arial" w:cs="Arial"/>
                <w:sz w:val="26"/>
                <w:szCs w:val="26"/>
              </w:rPr>
              <w:t>, от 11.09.2019           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№643-п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77777777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77777777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FF0E40E" w14:textId="2CFA9E95" w:rsidR="00253315" w:rsidRDefault="00253315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2A38250C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А.А. Бочко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EB6158">
        <w:tc>
          <w:tcPr>
            <w:tcW w:w="9464" w:type="dxa"/>
          </w:tcPr>
          <w:p w14:paraId="69E81F64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EB6158">
        <w:tc>
          <w:tcPr>
            <w:tcW w:w="9464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74E8C154" w14:textId="77777777"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14:paraId="204D9F57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CE68EC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13FFDDF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9F2B0EE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E7A8BC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E50372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6612E1B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932B893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9DF8F2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1082D9E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6ED4E0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8D637DB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D29AEF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32919FC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AD6A87F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80AE2B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4A81A0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FFBB4C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652B9D0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5EAF4F1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679AF7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54D7C7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08ABB978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EF6EFD5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25BA3E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0ABD9D8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BD0EFC9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98BD454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745D59FA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C51C641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282F7DF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10011BF" w14:textId="77777777" w:rsidR="004E5BAF" w:rsidRDefault="004E5BAF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AB59BE3" w14:textId="77777777" w:rsidR="004E5BAF" w:rsidRDefault="004E5BAF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642A2296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3F7DCD80" w14:textId="77777777" w:rsidR="00B62275" w:rsidRDefault="00B62275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</w:p>
    <w:p w14:paraId="46F2104F" w14:textId="77777777" w:rsidR="00145C3A" w:rsidRDefault="00145C3A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</w:p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lastRenderedPageBreak/>
        <w:t>Приложение</w:t>
      </w:r>
    </w:p>
    <w:p w14:paraId="3991CE98" w14:textId="6D14B15F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145C3A">
        <w:rPr>
          <w:rFonts w:ascii="Arial" w:eastAsia="Times New Roman" w:hAnsi="Arial" w:cs="Arial"/>
          <w:sz w:val="25"/>
          <w:szCs w:val="25"/>
        </w:rPr>
        <w:t xml:space="preserve">проекту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145C3A">
        <w:rPr>
          <w:rFonts w:ascii="Arial" w:eastAsia="Times New Roman" w:hAnsi="Arial" w:cs="Arial"/>
          <w:sz w:val="25"/>
          <w:szCs w:val="25"/>
        </w:rPr>
        <w:t>я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77777777"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улучшение качества жизни населения г.п. Пойковский;</w:t>
            </w:r>
          </w:p>
          <w:p w14:paraId="16ED1E4F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21B06AEF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08030913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14:paraId="777FE4DB" w14:textId="77777777"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Целевые показатели</w:t>
            </w:r>
          </w:p>
          <w:p w14:paraId="7263EFA3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77777777"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CA4134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50890DD5" w:rsidR="00CA4134" w:rsidRPr="00CA4134" w:rsidRDefault="00145C3A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852 242,68679</w:t>
            </w:r>
            <w:r w:rsidR="00CA4134" w:rsidRPr="00CA4134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11F12884" w:rsidR="00CA4134" w:rsidRPr="0039541A" w:rsidRDefault="00145C3A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99 179,47729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CA4134">
            <w:pPr>
              <w:pStyle w:val="a4"/>
              <w:tabs>
                <w:tab w:val="left" w:pos="459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CA41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CA413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169DC986" w:rsidR="00DE6C52" w:rsidRPr="00F5773D" w:rsidRDefault="00D6086E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5</w:t>
            </w:r>
            <w:r w:rsidR="0034123F">
              <w:rPr>
                <w:rFonts w:ascii="Arial" w:hAnsi="Arial" w:cs="Arial"/>
                <w:b/>
                <w:sz w:val="25"/>
                <w:szCs w:val="25"/>
              </w:rPr>
              <w:t xml:space="preserve"> </w:t>
            </w:r>
            <w:r>
              <w:rPr>
                <w:rFonts w:ascii="Arial" w:hAnsi="Arial" w:cs="Arial"/>
                <w:b/>
                <w:sz w:val="25"/>
                <w:szCs w:val="25"/>
              </w:rPr>
              <w:t>258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>
              <w:rPr>
                <w:rFonts w:ascii="Arial" w:hAnsi="Arial" w:cs="Arial"/>
                <w:b/>
                <w:sz w:val="25"/>
                <w:szCs w:val="25"/>
              </w:rPr>
              <w:t>817</w:t>
            </w:r>
            <w:r w:rsidR="00281F1B">
              <w:rPr>
                <w:rFonts w:ascii="Arial" w:hAnsi="Arial" w:cs="Arial"/>
                <w:b/>
                <w:sz w:val="25"/>
                <w:szCs w:val="25"/>
              </w:rPr>
              <w:t>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5607E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70AEB6E0" w:rsidR="00DE6C52" w:rsidRPr="0039541A" w:rsidRDefault="00D6086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64E51EAE" w:rsidR="00DE6C52" w:rsidRPr="00576702" w:rsidRDefault="008879E2" w:rsidP="0057670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6 090,50297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B02BD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10B89005" w:rsidR="00DE6C52" w:rsidRPr="0039541A" w:rsidRDefault="00D6086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781,09797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468A52B6" w:rsidR="009C16A9" w:rsidRPr="009C16A9" w:rsidRDefault="00145C3A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391 627,21625</w:t>
            </w:r>
            <w:r w:rsidR="009C16A9"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16A2BF5D" w:rsidR="009C16A9" w:rsidRPr="0039541A" w:rsidRDefault="00EB4D1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32 396,91932</w:t>
            </w:r>
            <w:r w:rsidR="009C16A9"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9C16A9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9C16A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9C16A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B62275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14:paraId="13C0887E" w14:textId="77777777"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14:paraId="45D2BFD1" w14:textId="77777777"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14:paraId="72C80A3C" w14:textId="77777777"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14:paraId="7F3D979B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14:paraId="78B28B0C" w14:textId="77777777"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748D524D" w14:textId="77777777"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14:paraId="6C9B596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14:paraId="1EC24B0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фотоателье, ателье по ремонту одежды и обуви;</w:t>
      </w:r>
    </w:p>
    <w:p w14:paraId="1EC5B180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14:paraId="21374070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14:paraId="5FAFC05C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автотранспорта и автомойки, прочее.</w:t>
      </w:r>
    </w:p>
    <w:p w14:paraId="747361AF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14:paraId="097775BB" w14:textId="77777777"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14:paraId="46EC43DA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14:paraId="70F3CF85" w14:textId="77777777"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14:paraId="546D0C8A" w14:textId="77777777"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14:paraId="7686E145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6DEC7C76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14:paraId="246FAFE8" w14:textId="77777777"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6BBC26A1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2C22D60A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4F7A18AC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14:paraId="1A114C90" w14:textId="77777777"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14:paraId="24B2EE21" w14:textId="77777777"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14:paraId="10209D64" w14:textId="77777777"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14:paraId="4E42BA9A" w14:textId="77777777"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14:paraId="70FD8567" w14:textId="77777777"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14:paraId="48F3A9FE" w14:textId="77777777"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14:paraId="46CD4C91" w14:textId="77777777"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14:paraId="4CFF219B" w14:textId="77777777"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3EC2C846" w14:textId="77777777"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14:paraId="5189F5FA" w14:textId="77777777"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34AE5BC7" w14:textId="77777777"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14:paraId="2003A09C" w14:textId="77777777"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463546CE" w14:textId="77777777"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14:paraId="04EA2747" w14:textId="77777777"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14:paraId="25F18B7D" w14:textId="77777777"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населения, вовлеченного в эколого-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14:paraId="3E80F2D5" w14:textId="77777777"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14:paraId="723437E3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32A74053" w14:textId="77777777"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14:paraId="555B6DBE" w14:textId="77777777"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14:paraId="2F8DF7B4" w14:textId="77777777"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14:paraId="74647A85" w14:textId="77777777"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4DBD411E" w14:textId="77777777"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14:paraId="7077FF07" w14:textId="77777777"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t>Раздел 4 «Механизм реализации муниципальной программы»</w:t>
      </w:r>
    </w:p>
    <w:p w14:paraId="467F954C" w14:textId="77777777"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>втономного округа - Югры,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14:paraId="2880F130" w14:textId="77777777"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14:paraId="75B19786" w14:textId="77777777"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390EEEC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14:paraId="0CEA64B7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14:paraId="17268AF6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>Значения показателя «Доля населения, вовлеченного в эколого-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гп. Пойковский, рассчитывается по формуле:</w:t>
      </w:r>
    </w:p>
    <w:p w14:paraId="3CADC7F9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/ Г x 100%, где:</w:t>
      </w:r>
    </w:p>
    <w:p w14:paraId="71DD75AB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эколого-просветительских </w:t>
      </w:r>
    </w:p>
    <w:p w14:paraId="57F815A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и эколого-образовательных мероприятиях, проведенных на территории городского поселения Пойковский за отчетный год;</w:t>
      </w:r>
    </w:p>
    <w:p w14:paraId="6362D312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r w:rsidR="00C675D2" w:rsidRPr="00477FA1">
        <w:rPr>
          <w:rFonts w:ascii="Arial" w:hAnsi="Arial" w:cs="Arial"/>
          <w:sz w:val="26"/>
          <w:szCs w:val="26"/>
        </w:rPr>
        <w:t>гп.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14:paraId="614856F8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>Показатель «Доля ликвидированных объектов мест размещения твердых коммунальных отходов» отражает отношение количества ликвидированных объектов мест размещения твердых коммунальных отходов к общему количеству мест размещения твердых коммунальных отходов, подлежащих ликвидации по формуле:</w:t>
      </w:r>
    </w:p>
    <w:p w14:paraId="2F3D447B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Н/К x 100%,  где:</w:t>
      </w:r>
    </w:p>
    <w:p w14:paraId="5C78FB19" w14:textId="77777777"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14:paraId="2845D4CF" w14:textId="77777777"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14:paraId="1A01E42A" w14:textId="77777777"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B47933" w:rsidRDefault="00B47933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B47933" w:rsidRDefault="00B47933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B47933" w:rsidRDefault="00B47933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B47933" w:rsidRDefault="00B47933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51A9"/>
    <w:rsid w:val="001778C6"/>
    <w:rsid w:val="001B7DB6"/>
    <w:rsid w:val="001C5D9D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A5242"/>
    <w:rsid w:val="002C455A"/>
    <w:rsid w:val="002D137F"/>
    <w:rsid w:val="002D749D"/>
    <w:rsid w:val="002E4D52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645"/>
    <w:rsid w:val="003C0DF9"/>
    <w:rsid w:val="003D45B3"/>
    <w:rsid w:val="003D7AFF"/>
    <w:rsid w:val="003E7371"/>
    <w:rsid w:val="003E7380"/>
    <w:rsid w:val="00400096"/>
    <w:rsid w:val="004000D8"/>
    <w:rsid w:val="00402A8C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C013C"/>
    <w:rsid w:val="004C5F8B"/>
    <w:rsid w:val="004D1F20"/>
    <w:rsid w:val="004E07D3"/>
    <w:rsid w:val="004E5BAF"/>
    <w:rsid w:val="005016D0"/>
    <w:rsid w:val="0051209C"/>
    <w:rsid w:val="0051288C"/>
    <w:rsid w:val="00523405"/>
    <w:rsid w:val="00536B7E"/>
    <w:rsid w:val="005422DE"/>
    <w:rsid w:val="00544835"/>
    <w:rsid w:val="00545E73"/>
    <w:rsid w:val="00554519"/>
    <w:rsid w:val="005578F7"/>
    <w:rsid w:val="005607E9"/>
    <w:rsid w:val="00563E66"/>
    <w:rsid w:val="00576702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71D28"/>
    <w:rsid w:val="00675071"/>
    <w:rsid w:val="00675724"/>
    <w:rsid w:val="00675E4D"/>
    <w:rsid w:val="006B1293"/>
    <w:rsid w:val="006B20D8"/>
    <w:rsid w:val="006B39D7"/>
    <w:rsid w:val="006C66AE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79E2"/>
    <w:rsid w:val="00891A7F"/>
    <w:rsid w:val="00891DCB"/>
    <w:rsid w:val="0089466D"/>
    <w:rsid w:val="008A2544"/>
    <w:rsid w:val="008B1232"/>
    <w:rsid w:val="008E26EA"/>
    <w:rsid w:val="008F282B"/>
    <w:rsid w:val="008F3FEE"/>
    <w:rsid w:val="009030DF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8410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83234"/>
    <w:rsid w:val="00A861D5"/>
    <w:rsid w:val="00A865D7"/>
    <w:rsid w:val="00A932BE"/>
    <w:rsid w:val="00AA2805"/>
    <w:rsid w:val="00AC2F84"/>
    <w:rsid w:val="00AD19E0"/>
    <w:rsid w:val="00AD702D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22FAD"/>
    <w:rsid w:val="00C43C74"/>
    <w:rsid w:val="00C55679"/>
    <w:rsid w:val="00C675D2"/>
    <w:rsid w:val="00C8095E"/>
    <w:rsid w:val="00C8724A"/>
    <w:rsid w:val="00C978F6"/>
    <w:rsid w:val="00CA4134"/>
    <w:rsid w:val="00CA4201"/>
    <w:rsid w:val="00CC6630"/>
    <w:rsid w:val="00CE27C7"/>
    <w:rsid w:val="00CE5212"/>
    <w:rsid w:val="00CE6986"/>
    <w:rsid w:val="00D00119"/>
    <w:rsid w:val="00D134D7"/>
    <w:rsid w:val="00D43748"/>
    <w:rsid w:val="00D44A72"/>
    <w:rsid w:val="00D559E4"/>
    <w:rsid w:val="00D6086E"/>
    <w:rsid w:val="00D62984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5A13"/>
    <w:rsid w:val="00E37470"/>
    <w:rsid w:val="00E4642B"/>
    <w:rsid w:val="00E47D1F"/>
    <w:rsid w:val="00E6575B"/>
    <w:rsid w:val="00E72795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45B07-5921-4071-831E-56921B4BE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12</Pages>
  <Words>2701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Сафина Т А</cp:lastModifiedBy>
  <cp:revision>61</cp:revision>
  <cp:lastPrinted>2020-03-11T06:11:00Z</cp:lastPrinted>
  <dcterms:created xsi:type="dcterms:W3CDTF">2019-02-20T06:22:00Z</dcterms:created>
  <dcterms:modified xsi:type="dcterms:W3CDTF">2020-03-11T06:12:00Z</dcterms:modified>
</cp:coreProperties>
</file>