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EA30B" w14:textId="4C23448C" w:rsidR="00C55679" w:rsidRPr="00C55679" w:rsidRDefault="00A86E26" w:rsidP="00A86E26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  <w:r w:rsidR="00E0290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47816">
        <w:rPr>
          <w:rFonts w:ascii="Arial" w:eastAsia="Times New Roman" w:hAnsi="Arial" w:cs="Arial"/>
          <w:sz w:val="26"/>
          <w:szCs w:val="26"/>
          <w:lang w:eastAsia="ru-RU"/>
        </w:rPr>
        <w:t xml:space="preserve">к </w:t>
      </w:r>
      <w:r w:rsidR="0087142D">
        <w:rPr>
          <w:rFonts w:ascii="Arial" w:eastAsia="Times New Roman" w:hAnsi="Arial" w:cs="Arial"/>
          <w:sz w:val="26"/>
          <w:szCs w:val="26"/>
          <w:lang w:eastAsia="ru-RU"/>
        </w:rPr>
        <w:t>постановлени</w:t>
      </w:r>
      <w:r>
        <w:rPr>
          <w:rFonts w:ascii="Arial" w:eastAsia="Times New Roman" w:hAnsi="Arial" w:cs="Arial"/>
          <w:sz w:val="26"/>
          <w:szCs w:val="26"/>
          <w:lang w:eastAsia="ru-RU"/>
        </w:rPr>
        <w:t>ю</w:t>
      </w:r>
    </w:p>
    <w:p w14:paraId="7C11C72B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14:paraId="5112A54C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14:paraId="535C2502" w14:textId="19F7A58E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</w:t>
      </w:r>
      <w:r w:rsidR="00621778">
        <w:rPr>
          <w:rFonts w:ascii="Arial" w:eastAsia="Times New Roman" w:hAnsi="Arial" w:cs="Arial"/>
          <w:sz w:val="26"/>
          <w:szCs w:val="26"/>
          <w:u w:val="single"/>
          <w:lang w:eastAsia="ru-RU"/>
        </w:rPr>
        <w:t>06.12.2019</w:t>
      </w:r>
      <w:r>
        <w:rPr>
          <w:rFonts w:ascii="Arial" w:eastAsia="Times New Roman" w:hAnsi="Arial" w:cs="Arial"/>
          <w:sz w:val="26"/>
          <w:szCs w:val="26"/>
          <w:lang w:eastAsia="ru-RU"/>
        </w:rPr>
        <w:t>__ №_</w:t>
      </w:r>
      <w:r w:rsidR="00621778">
        <w:rPr>
          <w:rFonts w:ascii="Arial" w:eastAsia="Times New Roman" w:hAnsi="Arial" w:cs="Arial"/>
          <w:sz w:val="26"/>
          <w:szCs w:val="26"/>
          <w:u w:val="single"/>
          <w:lang w:eastAsia="ru-RU"/>
        </w:rPr>
        <w:t>733-п</w:t>
      </w:r>
      <w:bookmarkStart w:id="0" w:name="_GoBack"/>
      <w:bookmarkEnd w:id="0"/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14:paraId="110493BF" w14:textId="77777777"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7D0B9A">
        <w:trPr>
          <w:trHeight w:val="689"/>
          <w:jc w:val="center"/>
        </w:trPr>
        <w:tc>
          <w:tcPr>
            <w:tcW w:w="3379" w:type="dxa"/>
          </w:tcPr>
          <w:p w14:paraId="5EAA3AFF" w14:textId="77777777"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43A641CC" w14:textId="77777777" w:rsidR="00616BC0" w:rsidRPr="00621778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5C36FDEF" w14:textId="77777777"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>
              <w:rPr>
                <w:rFonts w:ascii="Arial" w:hAnsi="Arial" w:cs="Arial"/>
                <w:sz w:val="26"/>
                <w:szCs w:val="26"/>
              </w:rPr>
              <w:t xml:space="preserve"> годы»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616BC0" w:rsidRPr="00616BC0" w14:paraId="70138229" w14:textId="77777777" w:rsidTr="007D0B9A">
        <w:trPr>
          <w:trHeight w:val="1725"/>
          <w:jc w:val="center"/>
        </w:trPr>
        <w:tc>
          <w:tcPr>
            <w:tcW w:w="3379" w:type="dxa"/>
          </w:tcPr>
          <w:p w14:paraId="78842CBC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01B5328B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1F60B6EB" w14:textId="77777777"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96795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7D0B9A">
        <w:trPr>
          <w:trHeight w:val="689"/>
          <w:jc w:val="center"/>
        </w:trPr>
        <w:tc>
          <w:tcPr>
            <w:tcW w:w="3379" w:type="dxa"/>
          </w:tcPr>
          <w:p w14:paraId="37756325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7D0B9A">
        <w:trPr>
          <w:trHeight w:val="689"/>
          <w:jc w:val="center"/>
        </w:trPr>
        <w:tc>
          <w:tcPr>
            <w:tcW w:w="3379" w:type="dxa"/>
          </w:tcPr>
          <w:p w14:paraId="5143BF3C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7D0B9A">
        <w:trPr>
          <w:trHeight w:val="345"/>
          <w:jc w:val="center"/>
        </w:trPr>
        <w:tc>
          <w:tcPr>
            <w:tcW w:w="3379" w:type="dxa"/>
          </w:tcPr>
          <w:p w14:paraId="5C71D127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7D0B9A">
        <w:trPr>
          <w:trHeight w:val="345"/>
          <w:jc w:val="center"/>
        </w:trPr>
        <w:tc>
          <w:tcPr>
            <w:tcW w:w="3379" w:type="dxa"/>
          </w:tcPr>
          <w:p w14:paraId="136DB0E3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7D0B9A">
        <w:trPr>
          <w:trHeight w:val="689"/>
          <w:jc w:val="center"/>
        </w:trPr>
        <w:tc>
          <w:tcPr>
            <w:tcW w:w="3379" w:type="dxa"/>
          </w:tcPr>
          <w:p w14:paraId="0549A7B9" w14:textId="77777777"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7D0B9A">
        <w:trPr>
          <w:trHeight w:val="689"/>
          <w:jc w:val="center"/>
        </w:trPr>
        <w:tc>
          <w:tcPr>
            <w:tcW w:w="3379" w:type="dxa"/>
          </w:tcPr>
          <w:p w14:paraId="586C5F4D" w14:textId="77777777"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77777777"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14:paraId="2024F155" w14:textId="77777777" w:rsidTr="007D0B9A">
        <w:trPr>
          <w:trHeight w:val="689"/>
          <w:jc w:val="center"/>
        </w:trPr>
        <w:tc>
          <w:tcPr>
            <w:tcW w:w="3379" w:type="dxa"/>
          </w:tcPr>
          <w:p w14:paraId="45FC20A9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F953D5" w:rsidRPr="00BC2429" w14:paraId="2A151454" w14:textId="77777777" w:rsidTr="00F953D5">
        <w:trPr>
          <w:trHeight w:val="936"/>
          <w:jc w:val="center"/>
        </w:trPr>
        <w:tc>
          <w:tcPr>
            <w:tcW w:w="3379" w:type="dxa"/>
            <w:vMerge w:val="restart"/>
          </w:tcPr>
          <w:p w14:paraId="444B0BF7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F953D5" w:rsidRPr="004E3EEF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F953D5" w:rsidRPr="00BC2429" w:rsidRDefault="00F953D5" w:rsidP="00F953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F953D5" w:rsidRPr="00E07879" w:rsidRDefault="00F953D5" w:rsidP="00F953D5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Общий объем финансирования муниципальной программы, </w:t>
            </w:r>
            <w:proofErr w:type="spellStart"/>
            <w:r w:rsidRPr="00E07879">
              <w:rPr>
                <w:rFonts w:ascii="Arial" w:eastAsia="Calibri" w:hAnsi="Arial" w:cs="Arial"/>
                <w:b/>
                <w:color w:val="000000"/>
              </w:rPr>
              <w:t>тыс.руб</w:t>
            </w:r>
            <w:proofErr w:type="spellEnd"/>
            <w:r w:rsidRPr="00E07879">
              <w:rPr>
                <w:rFonts w:ascii="Arial" w:eastAsia="Calibri" w:hAnsi="Arial" w:cs="Arial"/>
                <w:b/>
                <w:color w:val="000000"/>
              </w:rPr>
              <w:t>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4D02" w14:textId="12685654" w:rsidR="00F953D5" w:rsidRPr="00F953D5" w:rsidRDefault="00F953D5" w:rsidP="00F953D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F953D5">
              <w:rPr>
                <w:rFonts w:ascii="Arial" w:hAnsi="Arial" w:cs="Arial"/>
                <w:b/>
                <w:bCs/>
                <w:color w:val="000000"/>
              </w:rPr>
              <w:t xml:space="preserve">1 429 527,34497 </w:t>
            </w:r>
          </w:p>
        </w:tc>
      </w:tr>
      <w:tr w:rsidR="00F953D5" w:rsidRPr="00BC2429" w14:paraId="6BA839BA" w14:textId="77777777" w:rsidTr="007D0B9A">
        <w:trPr>
          <w:trHeight w:val="128"/>
          <w:jc w:val="center"/>
        </w:trPr>
        <w:tc>
          <w:tcPr>
            <w:tcW w:w="3379" w:type="dxa"/>
            <w:vMerge/>
          </w:tcPr>
          <w:p w14:paraId="05B9A2C0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0F627CE2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109 150,57759 </w:t>
            </w:r>
          </w:p>
        </w:tc>
      </w:tr>
      <w:tr w:rsidR="00F953D5" w:rsidRPr="00BC2429" w14:paraId="79F050F0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315F14DB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256 378,80065 </w:t>
            </w:r>
          </w:p>
        </w:tc>
      </w:tr>
      <w:tr w:rsidR="00F953D5" w:rsidRPr="00BC2429" w14:paraId="6A508FF1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1F7ADC07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137 050,24912 </w:t>
            </w:r>
          </w:p>
        </w:tc>
      </w:tr>
      <w:tr w:rsidR="00F953D5" w:rsidRPr="00BC2429" w14:paraId="49BF9DD7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0BFE7001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87 328,35418 </w:t>
            </w:r>
          </w:p>
        </w:tc>
      </w:tr>
      <w:tr w:rsidR="00F953D5" w:rsidRPr="00BC2429" w14:paraId="4B175C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2D5DEDEE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90 821,08834 </w:t>
            </w:r>
          </w:p>
        </w:tc>
      </w:tr>
      <w:tr w:rsidR="00F953D5" w:rsidRPr="00BC2429" w14:paraId="73CB2489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7753784D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94 453,93187 </w:t>
            </w:r>
          </w:p>
        </w:tc>
      </w:tr>
      <w:tr w:rsidR="00F953D5" w:rsidRPr="00BC2429" w14:paraId="715E5192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6BACD75B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98 232,08914 </w:t>
            </w:r>
          </w:p>
        </w:tc>
      </w:tr>
      <w:tr w:rsidR="00F953D5" w:rsidRPr="00BC2429" w14:paraId="133C44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750FD166" w:rsidR="00F953D5" w:rsidRPr="00F953D5" w:rsidRDefault="00F953D5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102 161,37270 </w:t>
            </w:r>
          </w:p>
        </w:tc>
      </w:tr>
      <w:tr w:rsidR="00F953D5" w:rsidRPr="00BC2429" w14:paraId="357A3058" w14:textId="77777777" w:rsidTr="002D4B8A">
        <w:trPr>
          <w:trHeight w:val="281"/>
          <w:jc w:val="center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2B9B02EE" w:rsidR="00F953D5" w:rsidRPr="00F953D5" w:rsidRDefault="00F953D5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106 900,91366 </w:t>
            </w:r>
          </w:p>
        </w:tc>
      </w:tr>
      <w:tr w:rsidR="00F953D5" w:rsidRPr="00BC2429" w14:paraId="3102DB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5A0BE6D1" w:rsidR="00F953D5" w:rsidRPr="00F953D5" w:rsidRDefault="00F953D5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111 176,95020 </w:t>
            </w:r>
          </w:p>
        </w:tc>
      </w:tr>
      <w:tr w:rsidR="00F953D5" w:rsidRPr="00BC2429" w14:paraId="51F68C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2066D2BD" w:rsidR="00F953D5" w:rsidRPr="00F953D5" w:rsidRDefault="00F953D5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115 624,02820 </w:t>
            </w:r>
          </w:p>
        </w:tc>
      </w:tr>
      <w:tr w:rsidR="00F953D5" w:rsidRPr="00BC2429" w14:paraId="16E4F23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18265A71" w:rsidR="00F953D5" w:rsidRPr="00F953D5" w:rsidRDefault="00F953D5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F953D5">
              <w:rPr>
                <w:rFonts w:ascii="Arial" w:hAnsi="Arial" w:cs="Arial"/>
                <w:color w:val="000000"/>
              </w:rPr>
              <w:t xml:space="preserve"> 120 248,98932 </w:t>
            </w:r>
          </w:p>
        </w:tc>
      </w:tr>
      <w:tr w:rsidR="00613B6A" w:rsidRPr="00BC2429" w14:paraId="5080509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14:paraId="27E42A6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769D170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47702191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0205EB0E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A6D3F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0460141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5A82685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7956FA8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1D872818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27568E9B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770590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38EEEF9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14:paraId="612725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0A9D4DA1" w:rsidR="004E3EEF" w:rsidRPr="002D4B8A" w:rsidRDefault="00E9271B" w:rsidP="002D4B8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30 095,62384</w:t>
            </w:r>
          </w:p>
        </w:tc>
      </w:tr>
      <w:tr w:rsidR="004E3EEF" w:rsidRPr="00BC2429" w14:paraId="1856A97D" w14:textId="77777777" w:rsidTr="007D0B9A">
        <w:trPr>
          <w:trHeight w:val="305"/>
          <w:jc w:val="center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14:paraId="3E23647E" w14:textId="77777777" w:rsidTr="007D0B9A">
        <w:trPr>
          <w:trHeight w:val="268"/>
          <w:jc w:val="center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15 051,88859</w:t>
            </w:r>
          </w:p>
        </w:tc>
      </w:tr>
      <w:tr w:rsidR="004E3EEF" w:rsidRPr="00BC2429" w14:paraId="42B8A4A7" w14:textId="77777777" w:rsidTr="007D0B9A">
        <w:trPr>
          <w:trHeight w:val="286"/>
          <w:jc w:val="center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6EF9F35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0FF1E7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5A7B20C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14288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B6D9B70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1F793A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3CF538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EB84D79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9FC9EF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084BFFA2" w14:textId="77777777" w:rsidTr="007D0B9A">
        <w:trPr>
          <w:trHeight w:val="279"/>
          <w:jc w:val="center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E07879" w:rsidRDefault="006673D8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14:paraId="35B36D73" w14:textId="77777777" w:rsidTr="007D0B9A">
        <w:trPr>
          <w:trHeight w:val="283"/>
          <w:jc w:val="center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16C3AA88" w14:textId="77777777" w:rsidTr="007D0B9A">
        <w:trPr>
          <w:trHeight w:val="259"/>
          <w:jc w:val="center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34FFFF28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6DDF32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0A0AAE7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F7968F9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DBF10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FF7DE5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1A10EA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212BCE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34E5D076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71C65E49" w14:textId="77777777" w:rsidTr="007D0B9A">
        <w:trPr>
          <w:trHeight w:val="267"/>
          <w:jc w:val="center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Default="004E3EE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481CAC02" w14:textId="77777777" w:rsidTr="007D0B9A">
        <w:trPr>
          <w:trHeight w:val="272"/>
          <w:jc w:val="center"/>
        </w:trPr>
        <w:tc>
          <w:tcPr>
            <w:tcW w:w="3379" w:type="dxa"/>
            <w:vMerge/>
          </w:tcPr>
          <w:p w14:paraId="621C03D7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77777777" w:rsidR="004E3EEF" w:rsidRPr="00E07879" w:rsidRDefault="006673D8" w:rsidP="00784D1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</w:t>
            </w:r>
            <w:r w:rsidR="004C378D">
              <w:rPr>
                <w:rFonts w:ascii="Arial" w:hAnsi="Arial" w:cs="Arial"/>
                <w:b/>
              </w:rPr>
              <w:t>187 540</w:t>
            </w:r>
            <w:r>
              <w:rPr>
                <w:rFonts w:ascii="Arial" w:hAnsi="Arial" w:cs="Arial"/>
                <w:b/>
              </w:rPr>
              <w:t>,</w:t>
            </w:r>
            <w:r w:rsidR="004C378D">
              <w:rPr>
                <w:rFonts w:ascii="Arial" w:hAnsi="Arial" w:cs="Arial"/>
                <w:b/>
              </w:rPr>
              <w:t>74617</w:t>
            </w:r>
          </w:p>
        </w:tc>
      </w:tr>
      <w:tr w:rsidR="004E3EEF" w:rsidRPr="00BC2429" w14:paraId="2667A944" w14:textId="77777777" w:rsidTr="007D0B9A">
        <w:trPr>
          <w:trHeight w:val="289"/>
          <w:jc w:val="center"/>
        </w:trPr>
        <w:tc>
          <w:tcPr>
            <w:tcW w:w="3379" w:type="dxa"/>
            <w:vMerge/>
          </w:tcPr>
          <w:p w14:paraId="0EFF99F4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77777777" w:rsidR="004E3EEF" w:rsidRPr="003A3F9A" w:rsidRDefault="00784D19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93 406</w:t>
            </w:r>
            <w:r w:rsidR="009A31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84234</w:t>
            </w:r>
          </w:p>
        </w:tc>
      </w:tr>
      <w:tr w:rsidR="004E3EEF" w:rsidRPr="00BC2429" w14:paraId="521C52D3" w14:textId="77777777" w:rsidTr="007D0B9A">
        <w:trPr>
          <w:trHeight w:val="266"/>
          <w:jc w:val="center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77777777" w:rsidR="007E7353" w:rsidRDefault="00784D19" w:rsidP="004C378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4C378D">
              <w:rPr>
                <w:rFonts w:ascii="Arial" w:hAnsi="Arial" w:cs="Arial"/>
              </w:rPr>
              <w:t>3 216,32643</w:t>
            </w:r>
          </w:p>
        </w:tc>
      </w:tr>
      <w:tr w:rsidR="004E3EEF" w:rsidRPr="00BC2429" w14:paraId="0BA5B897" w14:textId="77777777" w:rsidTr="007D0B9A">
        <w:trPr>
          <w:trHeight w:val="269"/>
          <w:jc w:val="center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77777777" w:rsidR="004E3EEF" w:rsidRPr="003A3F9A" w:rsidRDefault="004C378D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83 969,85979</w:t>
            </w:r>
          </w:p>
        </w:tc>
      </w:tr>
      <w:tr w:rsidR="004E3EEF" w:rsidRPr="00BC2429" w14:paraId="10900F6C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77777777" w:rsidR="004E3EEF" w:rsidRPr="003A3F9A" w:rsidRDefault="004C378D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87 328,35418</w:t>
            </w:r>
          </w:p>
        </w:tc>
      </w:tr>
      <w:tr w:rsidR="00E9271B" w:rsidRPr="00BC2429" w14:paraId="5FFBE23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90 821,08834</w:t>
            </w:r>
          </w:p>
        </w:tc>
      </w:tr>
      <w:tr w:rsidR="00E9271B" w:rsidRPr="00BC2429" w14:paraId="0553C78B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21991D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94 453,93187</w:t>
            </w:r>
          </w:p>
        </w:tc>
      </w:tr>
      <w:tr w:rsidR="00E9271B" w:rsidRPr="00BC2429" w14:paraId="0DF727AA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98 232,08914</w:t>
            </w:r>
          </w:p>
        </w:tc>
      </w:tr>
      <w:tr w:rsidR="00E9271B" w:rsidRPr="00BC2429" w14:paraId="4AD2F06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102 161,37270</w:t>
            </w:r>
          </w:p>
        </w:tc>
      </w:tr>
      <w:tr w:rsidR="00E9271B" w:rsidRPr="00BC2429" w14:paraId="2A5F85B9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77777777" w:rsidR="007E7353" w:rsidRDefault="00471AA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106 900,91366</w:t>
            </w:r>
          </w:p>
        </w:tc>
      </w:tr>
      <w:tr w:rsidR="00E9271B" w:rsidRPr="00BC2429" w14:paraId="2612CBB5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111 176,95020</w:t>
            </w:r>
          </w:p>
        </w:tc>
      </w:tr>
      <w:tr w:rsidR="00E9271B" w:rsidRPr="00BC2429" w14:paraId="5A9DA521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115 624,02820</w:t>
            </w:r>
          </w:p>
        </w:tc>
      </w:tr>
      <w:tr w:rsidR="00E9271B" w:rsidRPr="00BC2429" w14:paraId="3713227D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77777777"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120 248,98932</w:t>
            </w:r>
          </w:p>
        </w:tc>
      </w:tr>
      <w:tr w:rsidR="004E3EEF" w:rsidRPr="00BC2429" w14:paraId="76317808" w14:textId="77777777" w:rsidTr="007D0B9A">
        <w:trPr>
          <w:trHeight w:val="277"/>
          <w:jc w:val="center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77777777" w:rsidR="004E3EEF" w:rsidRPr="00E07879" w:rsidRDefault="00784D19" w:rsidP="00B4781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211 890,97496</w:t>
            </w:r>
          </w:p>
        </w:tc>
      </w:tr>
      <w:tr w:rsidR="004E3EEF" w:rsidRPr="00BC2429" w14:paraId="41DD8FA5" w14:textId="77777777" w:rsidTr="007D0B9A">
        <w:trPr>
          <w:trHeight w:val="281"/>
          <w:jc w:val="center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77777777" w:rsidR="007E7353" w:rsidRDefault="00784D1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700,00000</w:t>
            </w:r>
          </w:p>
        </w:tc>
      </w:tr>
      <w:tr w:rsidR="004E3EEF" w:rsidRPr="00BC2429" w14:paraId="32E08D53" w14:textId="77777777" w:rsidTr="007D0B9A">
        <w:trPr>
          <w:trHeight w:val="257"/>
          <w:jc w:val="center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77777777"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158 110,58563</w:t>
            </w:r>
          </w:p>
        </w:tc>
      </w:tr>
      <w:tr w:rsidR="004E3EEF" w:rsidRPr="00BC2429" w14:paraId="0B65A3D1" w14:textId="77777777" w:rsidTr="007D0B9A">
        <w:trPr>
          <w:trHeight w:val="276"/>
          <w:jc w:val="center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77777777"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53 080,38933</w:t>
            </w:r>
          </w:p>
        </w:tc>
      </w:tr>
      <w:tr w:rsidR="004E3EEF" w:rsidRPr="00BC2429" w14:paraId="5E80ED01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77777777"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33457866" w14:textId="77777777" w:rsidTr="007D0B9A">
        <w:trPr>
          <w:trHeight w:val="265"/>
          <w:jc w:val="center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CC03D22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0535ABF7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6123E145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762B7710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EA40BE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A3EF56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486FC6CF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1ADF72E6" w14:textId="77777777"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14:paraId="0947969C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В городском поселении Пойковский действуют 3 </w:t>
      </w:r>
      <w:proofErr w:type="spellStart"/>
      <w:r w:rsidRPr="00F569DE">
        <w:rPr>
          <w:sz w:val="26"/>
          <w:szCs w:val="26"/>
        </w:rPr>
        <w:t>внутрипоселковых</w:t>
      </w:r>
      <w:proofErr w:type="spellEnd"/>
      <w:r w:rsidRPr="00F569DE">
        <w:rPr>
          <w:sz w:val="26"/>
          <w:szCs w:val="26"/>
        </w:rPr>
        <w:t xml:space="preserve"> маршрута.</w:t>
      </w:r>
    </w:p>
    <w:p w14:paraId="1A6982DD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</w:t>
      </w:r>
      <w:proofErr w:type="spellStart"/>
      <w:r w:rsidRPr="00F569DE">
        <w:rPr>
          <w:sz w:val="26"/>
          <w:szCs w:val="26"/>
        </w:rPr>
        <w:t>внутрипоселковых</w:t>
      </w:r>
      <w:proofErr w:type="spellEnd"/>
      <w:r w:rsidRPr="00F569DE">
        <w:rPr>
          <w:sz w:val="26"/>
          <w:szCs w:val="26"/>
        </w:rPr>
        <w:t>) социально-значимым маршрутам.</w:t>
      </w:r>
    </w:p>
    <w:p w14:paraId="5CCE27DC" w14:textId="77777777"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8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внутрипоселковых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 xml:space="preserve">Администрация </w:t>
      </w:r>
      <w:proofErr w:type="spellStart"/>
      <w:r w:rsidR="00AB20DE" w:rsidRPr="00545952">
        <w:rPr>
          <w:rFonts w:ascii="Arial" w:hAnsi="Arial" w:cs="Arial"/>
          <w:sz w:val="26"/>
          <w:szCs w:val="26"/>
        </w:rPr>
        <w:t>гп.П</w:t>
      </w:r>
      <w:r w:rsidR="002E3DA8" w:rsidRPr="00545952">
        <w:rPr>
          <w:rFonts w:ascii="Arial" w:hAnsi="Arial" w:cs="Arial"/>
          <w:sz w:val="26"/>
          <w:szCs w:val="26"/>
        </w:rPr>
        <w:t>ойковский</w:t>
      </w:r>
      <w:proofErr w:type="spellEnd"/>
      <w:r w:rsidR="002E3DA8" w:rsidRPr="00545952">
        <w:rPr>
          <w:rFonts w:ascii="Arial" w:hAnsi="Arial" w:cs="Arial"/>
          <w:sz w:val="26"/>
          <w:szCs w:val="26"/>
        </w:rPr>
        <w:t xml:space="preserve">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77777777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545952">
        <w:rPr>
          <w:rFonts w:ascii="Arial" w:hAnsi="Arial" w:cs="Arial"/>
          <w:sz w:val="26"/>
          <w:szCs w:val="26"/>
        </w:rPr>
        <w:t>внутрипоселковых</w:t>
      </w:r>
      <w:proofErr w:type="spellEnd"/>
      <w:r w:rsidRPr="00545952">
        <w:rPr>
          <w:rFonts w:ascii="Arial" w:hAnsi="Arial" w:cs="Arial"/>
          <w:sz w:val="26"/>
          <w:szCs w:val="26"/>
        </w:rPr>
        <w:t xml:space="preserve">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</w:t>
      </w:r>
      <w:r w:rsidR="00012026">
        <w:rPr>
          <w:rFonts w:ascii="Arial" w:hAnsi="Arial" w:cs="Arial"/>
          <w:sz w:val="26"/>
          <w:szCs w:val="26"/>
        </w:rPr>
        <w:t>9.</w:t>
      </w:r>
      <w:r w:rsidRPr="00545952">
        <w:rPr>
          <w:rFonts w:ascii="Arial" w:hAnsi="Arial" w:cs="Arial"/>
          <w:sz w:val="26"/>
          <w:szCs w:val="26"/>
        </w:rPr>
        <w:t>.</w:t>
      </w:r>
      <w:r w:rsidR="00012026">
        <w:rPr>
          <w:rFonts w:ascii="Arial" w:hAnsi="Arial" w:cs="Arial"/>
          <w:sz w:val="26"/>
          <w:szCs w:val="26"/>
        </w:rPr>
        <w:t>12.</w:t>
      </w:r>
      <w:r w:rsidRPr="00545952">
        <w:rPr>
          <w:rFonts w:ascii="Arial" w:hAnsi="Arial" w:cs="Arial"/>
          <w:sz w:val="26"/>
          <w:szCs w:val="26"/>
        </w:rPr>
        <w:t>.201</w:t>
      </w:r>
      <w:r w:rsidR="00012026">
        <w:rPr>
          <w:rFonts w:ascii="Arial" w:hAnsi="Arial" w:cs="Arial"/>
          <w:sz w:val="26"/>
          <w:szCs w:val="26"/>
        </w:rPr>
        <w:t>8</w:t>
      </w:r>
      <w:r w:rsidRPr="00545952">
        <w:rPr>
          <w:rFonts w:ascii="Arial" w:hAnsi="Arial" w:cs="Arial"/>
          <w:sz w:val="26"/>
          <w:szCs w:val="26"/>
        </w:rPr>
        <w:t xml:space="preserve"> №</w:t>
      </w:r>
      <w:r w:rsidR="00012026">
        <w:rPr>
          <w:rFonts w:ascii="Arial" w:hAnsi="Arial" w:cs="Arial"/>
          <w:sz w:val="26"/>
          <w:szCs w:val="26"/>
        </w:rPr>
        <w:t xml:space="preserve"> 891</w:t>
      </w:r>
      <w:r w:rsidRPr="00545952">
        <w:rPr>
          <w:rFonts w:ascii="Arial" w:hAnsi="Arial" w:cs="Arial"/>
          <w:sz w:val="26"/>
          <w:szCs w:val="26"/>
        </w:rPr>
        <w:t>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14:paraId="586C638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предписания отдела Государственной инспекции безопасности дорожного движения отдела МВД России по </w:t>
      </w:r>
      <w:proofErr w:type="spellStart"/>
      <w:r w:rsidRPr="00701287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району;</w:t>
      </w:r>
    </w:p>
    <w:p w14:paraId="591522B0" w14:textId="77777777"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Субсидии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С общ. – общий объем средств бюджета автономного округа, планируемый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межбюджетных трансфертов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</w:p>
    <w:p w14:paraId="05BD914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5479FB0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669FE68D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1F5C931B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14:paraId="3D842B28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127867CA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30326416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10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18366035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14:paraId="79159E47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1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 xml:space="preserve"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</w:t>
      </w:r>
      <w:proofErr w:type="spellStart"/>
      <w:r w:rsidRPr="0049694E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49694E">
        <w:rPr>
          <w:rFonts w:ascii="Arial" w:hAnsi="Arial" w:cs="Arial"/>
          <w:sz w:val="26"/>
          <w:szCs w:val="26"/>
        </w:rPr>
        <w:t xml:space="preserve"> мероприятий муниципальной программы.</w:t>
      </w:r>
    </w:p>
    <w:p w14:paraId="5D07DF7D" w14:textId="77777777"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4173"/>
    <w:rsid w:val="002A2780"/>
    <w:rsid w:val="002A4915"/>
    <w:rsid w:val="002D4B8A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3EEF"/>
    <w:rsid w:val="004E7826"/>
    <w:rsid w:val="004F44FC"/>
    <w:rsid w:val="00510E5E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612D74"/>
    <w:rsid w:val="00613B6A"/>
    <w:rsid w:val="006144C5"/>
    <w:rsid w:val="00615974"/>
    <w:rsid w:val="00616BC0"/>
    <w:rsid w:val="00616FED"/>
    <w:rsid w:val="00621778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3363"/>
    <w:rsid w:val="007847DD"/>
    <w:rsid w:val="00784D19"/>
    <w:rsid w:val="007972FB"/>
    <w:rsid w:val="007A186D"/>
    <w:rsid w:val="007A28B3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0290B"/>
    <w:rsid w:val="00E14ABA"/>
    <w:rsid w:val="00E438BA"/>
    <w:rsid w:val="00E5307E"/>
    <w:rsid w:val="00E6197F"/>
    <w:rsid w:val="00E759B5"/>
    <w:rsid w:val="00E83135"/>
    <w:rsid w:val="00E9271B"/>
    <w:rsid w:val="00EC39F2"/>
    <w:rsid w:val="00ED4D11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5A9FB228A3109822ED86846BA38CE782C954175A24A0D211C3B68EB6327C65D539EF95A71CFBmF05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F5A9FB228A3109822ED86846BA38CE781C754165D2FFDD8199ABA8CB1m30D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FEA0D-2F13-4C8E-8BC6-1337A1DFE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10</Pages>
  <Words>3192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151</cp:revision>
  <cp:lastPrinted>2019-11-01T10:06:00Z</cp:lastPrinted>
  <dcterms:created xsi:type="dcterms:W3CDTF">2016-10-06T05:29:00Z</dcterms:created>
  <dcterms:modified xsi:type="dcterms:W3CDTF">2019-12-10T12:31:00Z</dcterms:modified>
</cp:coreProperties>
</file>