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EA30B" w14:textId="1A4BB228" w:rsidR="00C55679" w:rsidRPr="00C55679" w:rsidRDefault="00A86E26" w:rsidP="00523A01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9130E1">
        <w:rPr>
          <w:rFonts w:ascii="Arial" w:eastAsia="Times New Roman" w:hAnsi="Arial" w:cs="Arial"/>
          <w:sz w:val="26"/>
          <w:szCs w:val="26"/>
          <w:lang w:eastAsia="ru-RU"/>
        </w:rPr>
        <w:t>к постановлению</w:t>
      </w:r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6B2DF9BA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</w:t>
      </w:r>
      <w:r w:rsidR="009130E1">
        <w:rPr>
          <w:rFonts w:ascii="Arial" w:eastAsia="Times New Roman" w:hAnsi="Arial" w:cs="Arial"/>
          <w:sz w:val="26"/>
          <w:szCs w:val="26"/>
          <w:u w:val="single"/>
          <w:lang w:eastAsia="ru-RU"/>
        </w:rPr>
        <w:t>07.04.2020</w:t>
      </w:r>
      <w:r>
        <w:rPr>
          <w:rFonts w:ascii="Arial" w:eastAsia="Times New Roman" w:hAnsi="Arial" w:cs="Arial"/>
          <w:sz w:val="26"/>
          <w:szCs w:val="26"/>
          <w:lang w:eastAsia="ru-RU"/>
        </w:rPr>
        <w:t>__ №_</w:t>
      </w:r>
      <w:r w:rsidR="009130E1">
        <w:rPr>
          <w:rFonts w:ascii="Arial" w:eastAsia="Times New Roman" w:hAnsi="Arial" w:cs="Arial"/>
          <w:sz w:val="26"/>
          <w:szCs w:val="26"/>
          <w:u w:val="single"/>
          <w:lang w:eastAsia="ru-RU"/>
        </w:rPr>
        <w:t>140-п</w:t>
      </w:r>
      <w:bookmarkStart w:id="0" w:name="_GoBack"/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__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72C1B293" w:rsidR="004E209B" w:rsidRPr="004E209B" w:rsidRDefault="00A41603" w:rsidP="00EE3507">
            <w:pPr>
              <w:contextualSpacing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1 819 499,37433</w:t>
            </w:r>
            <w:r w:rsidR="004E209B" w:rsidRPr="004E20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3778B85A" w:rsidR="00F953D5" w:rsidRPr="00F953D5" w:rsidRDefault="00A41603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204 884,15274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46CAC2F6" w:rsidR="004E209B" w:rsidRPr="004E209B" w:rsidRDefault="00DF18C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1 460 655,63908</w:t>
            </w:r>
            <w:r w:rsidR="004E209B" w:rsidRPr="004E209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69F46814" w:rsidR="007E7353" w:rsidRDefault="00A41603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86 684,15274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="00701287"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="00701287"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090FD9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090FD9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30F6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130E1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5DC75-B57E-4B16-93B3-54A257C1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10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162</cp:revision>
  <cp:lastPrinted>2020-03-26T10:07:00Z</cp:lastPrinted>
  <dcterms:created xsi:type="dcterms:W3CDTF">2016-10-06T05:29:00Z</dcterms:created>
  <dcterms:modified xsi:type="dcterms:W3CDTF">2020-04-08T05:03:00Z</dcterms:modified>
</cp:coreProperties>
</file>