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1B340F47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6322E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100D337E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D673D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20.11.2020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D673D6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686-п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690A60F3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FE5957">
              <w:rPr>
                <w:rFonts w:ascii="Arial" w:hAnsi="Arial" w:cs="Arial"/>
                <w:sz w:val="26"/>
                <w:szCs w:val="26"/>
              </w:rPr>
              <w:t>, от 09.11.2020 №659-п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57D1115" w14:textId="77777777" w:rsidR="00D673D6" w:rsidRDefault="00D673D6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</w:p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03E863BB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D673D6">
        <w:rPr>
          <w:rFonts w:ascii="Arial" w:eastAsia="Times New Roman" w:hAnsi="Arial" w:cs="Arial"/>
          <w:sz w:val="25"/>
          <w:szCs w:val="25"/>
          <w:u w:val="single"/>
        </w:rPr>
        <w:t>20.11.2020</w:t>
      </w:r>
      <w:r w:rsidRPr="0039541A">
        <w:rPr>
          <w:rFonts w:ascii="Arial" w:eastAsia="Times New Roman" w:hAnsi="Arial" w:cs="Arial"/>
          <w:sz w:val="25"/>
          <w:szCs w:val="25"/>
        </w:rPr>
        <w:t>___ №_</w:t>
      </w:r>
      <w:r w:rsidR="00D673D6">
        <w:rPr>
          <w:rFonts w:ascii="Arial" w:eastAsia="Times New Roman" w:hAnsi="Arial" w:cs="Arial"/>
          <w:sz w:val="25"/>
          <w:szCs w:val="25"/>
          <w:u w:val="single"/>
        </w:rPr>
        <w:t>686-п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D673D6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1BF95906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1A4305">
              <w:rPr>
                <w:rFonts w:ascii="Arial" w:hAnsi="Arial" w:cs="Arial"/>
                <w:b/>
                <w:bCs/>
                <w:sz w:val="25"/>
                <w:szCs w:val="25"/>
              </w:rPr>
              <w:t>9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68A47090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1A4305">
              <w:rPr>
                <w:rFonts w:ascii="Arial" w:hAnsi="Arial" w:cs="Arial"/>
                <w:sz w:val="25"/>
                <w:szCs w:val="25"/>
              </w:rPr>
              <w:t>115</w:t>
            </w:r>
            <w:r w:rsidR="0091200A">
              <w:rPr>
                <w:rFonts w:ascii="Arial" w:hAnsi="Arial" w:cs="Arial"/>
                <w:sz w:val="25"/>
                <w:szCs w:val="25"/>
              </w:rPr>
              <w:t>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6310EEDB" w:rsidR="00DE6C52" w:rsidRPr="00580F09" w:rsidRDefault="001A4305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18</w:t>
            </w:r>
            <w:r w:rsidR="00580F09"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4CBED39B" w:rsidR="00DE6C52" w:rsidRPr="0039541A" w:rsidRDefault="001A430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13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32C12921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1F3B690E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2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по государственной программе Ханты-Мансийского автономного округа - Югры «Развитие агропромышленного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lastRenderedPageBreak/>
        <w:t>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645655">
      <w:pPr>
        <w:pStyle w:val="FORMATTEXT"/>
        <w:ind w:firstLine="568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3414AEB8" w14:textId="5DDD717D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 xml:space="preserve">Основное мероприятие </w:t>
      </w:r>
      <w:r w:rsidR="00645655">
        <w:rPr>
          <w:rFonts w:ascii="Arial" w:hAnsi="Arial" w:cs="Arial"/>
          <w:sz w:val="26"/>
          <w:szCs w:val="26"/>
        </w:rPr>
        <w:t xml:space="preserve">4 </w:t>
      </w:r>
      <w:r w:rsidRPr="006B3521">
        <w:rPr>
          <w:rFonts w:ascii="Arial" w:hAnsi="Arial" w:cs="Arial"/>
          <w:sz w:val="26"/>
          <w:szCs w:val="26"/>
        </w:rPr>
        <w:t>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5C673A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4D81E" w14:textId="77777777" w:rsidR="00AE253D" w:rsidRDefault="00AE253D" w:rsidP="00F50008">
      <w:pPr>
        <w:spacing w:after="0" w:line="240" w:lineRule="auto"/>
      </w:pPr>
      <w:r>
        <w:separator/>
      </w:r>
    </w:p>
  </w:endnote>
  <w:endnote w:type="continuationSeparator" w:id="0">
    <w:p w14:paraId="1E5C350A" w14:textId="77777777" w:rsidR="00AE253D" w:rsidRDefault="00AE253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C0805" w14:textId="77777777" w:rsidR="00AE253D" w:rsidRDefault="00AE253D" w:rsidP="00F50008">
      <w:pPr>
        <w:spacing w:after="0" w:line="240" w:lineRule="auto"/>
      </w:pPr>
      <w:r>
        <w:separator/>
      </w:r>
    </w:p>
  </w:footnote>
  <w:footnote w:type="continuationSeparator" w:id="0">
    <w:p w14:paraId="48602334" w14:textId="77777777" w:rsidR="00AE253D" w:rsidRDefault="00AE253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A4305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35903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BC0"/>
    <w:rsid w:val="00623B49"/>
    <w:rsid w:val="006322E7"/>
    <w:rsid w:val="006361DE"/>
    <w:rsid w:val="00643842"/>
    <w:rsid w:val="00645655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253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638A7"/>
    <w:rsid w:val="00D673D6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E5957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ED0B1-33AA-46AD-9D13-3E702C3E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11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100</cp:revision>
  <cp:lastPrinted>2020-11-18T03:48:00Z</cp:lastPrinted>
  <dcterms:created xsi:type="dcterms:W3CDTF">2019-02-20T06:22:00Z</dcterms:created>
  <dcterms:modified xsi:type="dcterms:W3CDTF">2020-11-20T05:12:00Z</dcterms:modified>
</cp:coreProperties>
</file>