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3125E1">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547D9A">
        <w:rPr>
          <w:rFonts w:ascii="Arial" w:eastAsia="Times New Roman" w:hAnsi="Arial" w:cs="Arial"/>
          <w:sz w:val="26"/>
          <w:szCs w:val="26"/>
          <w:u w:val="single"/>
          <w:lang w:eastAsia="ru-RU"/>
        </w:rPr>
        <w:t>09.09.2020</w:t>
      </w:r>
      <w:r w:rsidRPr="00886A9C">
        <w:rPr>
          <w:rFonts w:ascii="Arial" w:eastAsia="Times New Roman" w:hAnsi="Arial" w:cs="Arial"/>
          <w:sz w:val="26"/>
          <w:szCs w:val="26"/>
          <w:lang w:eastAsia="ru-RU"/>
        </w:rPr>
        <w:t>__                                                                                       №_</w:t>
      </w:r>
      <w:r w:rsidR="00547D9A">
        <w:rPr>
          <w:rFonts w:ascii="Arial" w:eastAsia="Times New Roman" w:hAnsi="Arial" w:cs="Arial"/>
          <w:sz w:val="26"/>
          <w:szCs w:val="26"/>
          <w:u w:val="single"/>
          <w:lang w:eastAsia="ru-RU"/>
        </w:rPr>
        <w:t>401-п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82524A" w:rsidRDefault="00886A9C" w:rsidP="00886A9C">
      <w:pPr>
        <w:spacing w:after="0" w:line="240" w:lineRule="auto"/>
        <w:jc w:val="center"/>
        <w:rPr>
          <w:rFonts w:ascii="Arial" w:eastAsia="Times New Roman" w:hAnsi="Arial" w:cs="Arial"/>
          <w:sz w:val="26"/>
          <w:szCs w:val="26"/>
          <w:lang w:eastAsia="ru-RU"/>
        </w:rPr>
      </w:pPr>
      <w:r w:rsidRPr="00396BA9">
        <w:rPr>
          <w:rFonts w:ascii="Arial" w:eastAsia="Times New Roman" w:hAnsi="Arial" w:cs="Arial"/>
          <w:sz w:val="24"/>
          <w:szCs w:val="24"/>
          <w:lang w:eastAsia="ru-RU"/>
        </w:rPr>
        <w:t xml:space="preserve">    </w:t>
      </w:r>
      <w:r w:rsidR="00F463A9" w:rsidRPr="0082524A">
        <w:rPr>
          <w:rFonts w:ascii="Arial" w:eastAsia="Times New Roman" w:hAnsi="Arial" w:cs="Arial"/>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Arial" w:eastAsia="Times New Roman" w:hAnsi="Arial" w:cs="Arial"/>
          <w:sz w:val="26"/>
          <w:szCs w:val="26"/>
          <w:lang w:eastAsia="ru-RU"/>
        </w:rPr>
      </w:pPr>
    </w:p>
    <w:p w:rsidR="0082524A" w:rsidRPr="0082524A" w:rsidRDefault="0082524A" w:rsidP="00886A9C">
      <w:pPr>
        <w:spacing w:after="0" w:line="240" w:lineRule="auto"/>
        <w:rPr>
          <w:rFonts w:ascii="Arial" w:eastAsia="Times New Roman" w:hAnsi="Arial" w:cs="Arial"/>
          <w:sz w:val="26"/>
          <w:szCs w:val="26"/>
          <w:lang w:eastAsia="ru-RU"/>
        </w:rPr>
      </w:pPr>
    </w:p>
    <w:p w:rsidR="00815E33" w:rsidRPr="0082524A"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 xml:space="preserve"> </w:t>
      </w:r>
      <w:r w:rsidR="0078106A" w:rsidRPr="0082524A">
        <w:rPr>
          <w:rFonts w:ascii="Arial" w:eastAsia="Times New Roman" w:hAnsi="Arial" w:cs="Arial"/>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82524A">
        <w:rPr>
          <w:rFonts w:ascii="Arial" w:eastAsia="Times New Roman" w:hAnsi="Arial" w:cs="Arial"/>
          <w:sz w:val="26"/>
          <w:szCs w:val="26"/>
          <w:lang w:eastAsia="ru-RU"/>
        </w:rPr>
        <w:t> </w:t>
      </w:r>
      <w:r w:rsidR="0078106A" w:rsidRPr="0082524A">
        <w:rPr>
          <w:rFonts w:ascii="Arial" w:eastAsia="Times New Roman" w:hAnsi="Arial" w:cs="Arial"/>
          <w:sz w:val="26"/>
          <w:szCs w:val="26"/>
          <w:lang w:eastAsia="ru-RU"/>
        </w:rPr>
        <w:t>394-п «О муниципальных и ведомственных целевых программах муниципального образования городское поселен</w:t>
      </w:r>
      <w:r w:rsidR="007E1EC1" w:rsidRPr="0082524A">
        <w:rPr>
          <w:rFonts w:ascii="Arial" w:eastAsia="Times New Roman" w:hAnsi="Arial" w:cs="Arial"/>
          <w:sz w:val="26"/>
          <w:szCs w:val="26"/>
          <w:lang w:eastAsia="ru-RU"/>
        </w:rPr>
        <w:t>ие Пойковский» (</w:t>
      </w:r>
      <w:r w:rsidR="00D17509" w:rsidRPr="0082524A">
        <w:rPr>
          <w:rFonts w:ascii="Arial" w:eastAsia="Times New Roman" w:hAnsi="Arial" w:cs="Arial"/>
          <w:sz w:val="26"/>
          <w:szCs w:val="26"/>
          <w:lang w:eastAsia="ru-RU"/>
        </w:rPr>
        <w:t xml:space="preserve">в редакции </w:t>
      </w:r>
      <w:r w:rsidR="00DF027D" w:rsidRPr="0082524A">
        <w:rPr>
          <w:rFonts w:ascii="Arial" w:eastAsia="Times New Roman" w:hAnsi="Arial" w:cs="Arial"/>
          <w:sz w:val="26"/>
          <w:szCs w:val="26"/>
          <w:lang w:eastAsia="ru-RU"/>
        </w:rPr>
        <w:t>от 31.10.2017 №</w:t>
      </w:r>
      <w:r w:rsidR="003618A6" w:rsidRPr="0082524A">
        <w:rPr>
          <w:rFonts w:ascii="Arial" w:eastAsia="Times New Roman" w:hAnsi="Arial" w:cs="Arial"/>
          <w:sz w:val="26"/>
          <w:szCs w:val="26"/>
          <w:lang w:eastAsia="ru-RU"/>
        </w:rPr>
        <w:t> </w:t>
      </w:r>
      <w:r w:rsidR="00DF027D" w:rsidRPr="0082524A">
        <w:rPr>
          <w:rFonts w:ascii="Arial" w:eastAsia="Times New Roman" w:hAnsi="Arial" w:cs="Arial"/>
          <w:sz w:val="26"/>
          <w:szCs w:val="26"/>
          <w:lang w:eastAsia="ru-RU"/>
        </w:rPr>
        <w:t>467-п)</w:t>
      </w:r>
      <w:r w:rsidR="00126E2D" w:rsidRPr="0082524A">
        <w:rPr>
          <w:rFonts w:ascii="Arial" w:eastAsia="Times New Roman" w:hAnsi="Arial" w:cs="Arial"/>
          <w:sz w:val="26"/>
          <w:szCs w:val="26"/>
          <w:lang w:eastAsia="ru-RU"/>
        </w:rPr>
        <w:t>, в соответствии с постановлением Администрации городского поселения Пойковский от 16.10.2017 №</w:t>
      </w:r>
      <w:r w:rsidR="003618A6" w:rsidRPr="0082524A">
        <w:rPr>
          <w:rFonts w:ascii="Arial" w:eastAsia="Times New Roman" w:hAnsi="Arial" w:cs="Arial"/>
          <w:sz w:val="26"/>
          <w:szCs w:val="26"/>
          <w:lang w:eastAsia="ru-RU"/>
        </w:rPr>
        <w:t> </w:t>
      </w:r>
      <w:r w:rsidR="00126E2D" w:rsidRPr="0082524A">
        <w:rPr>
          <w:rFonts w:ascii="Arial" w:eastAsia="Times New Roman" w:hAnsi="Arial" w:cs="Arial"/>
          <w:sz w:val="26"/>
          <w:szCs w:val="26"/>
          <w:lang w:eastAsia="ru-RU"/>
        </w:rPr>
        <w:t>440-п «Об утверждении перечня муниципальных программ городского поселения Пойковс</w:t>
      </w:r>
      <w:r w:rsidR="00C07162" w:rsidRPr="0082524A">
        <w:rPr>
          <w:rFonts w:ascii="Arial" w:eastAsia="Times New Roman" w:hAnsi="Arial" w:cs="Arial"/>
          <w:sz w:val="26"/>
          <w:szCs w:val="26"/>
          <w:lang w:eastAsia="ru-RU"/>
        </w:rPr>
        <w:t>кий» (в редакции от 15.10.2019 № 640-п</w:t>
      </w:r>
      <w:r w:rsidR="00126E2D" w:rsidRPr="0082524A">
        <w:rPr>
          <w:rFonts w:ascii="Arial" w:eastAsia="Times New Roman" w:hAnsi="Arial" w:cs="Arial"/>
          <w:sz w:val="26"/>
          <w:szCs w:val="26"/>
          <w:lang w:eastAsia="ru-RU"/>
        </w:rPr>
        <w:t>)</w:t>
      </w:r>
      <w:r w:rsidR="00C07162" w:rsidRPr="0082524A">
        <w:rPr>
          <w:rFonts w:ascii="Arial" w:eastAsia="Times New Roman" w:hAnsi="Arial" w:cs="Arial"/>
          <w:sz w:val="26"/>
          <w:szCs w:val="26"/>
          <w:lang w:eastAsia="ru-RU"/>
        </w:rPr>
        <w:t>, постановлением Администрации Нефтеюганского района от 10.04.2020 № 500-па «О мерах по предотвращению завоза и распространения новой коронавирусной инфекции, вызванной COVID-2019, на территории Нефтеюганского района»</w:t>
      </w:r>
      <w:r w:rsidR="00DF027D" w:rsidRPr="0082524A">
        <w:rPr>
          <w:rFonts w:ascii="Arial" w:eastAsia="Times New Roman" w:hAnsi="Arial" w:cs="Arial"/>
          <w:sz w:val="26"/>
          <w:szCs w:val="26"/>
          <w:lang w:eastAsia="ru-RU"/>
        </w:rPr>
        <w:t>:</w:t>
      </w:r>
    </w:p>
    <w:p w:rsidR="008D5FE7" w:rsidRPr="0082524A" w:rsidRDefault="008D5FE7" w:rsidP="00D87C2D">
      <w:pPr>
        <w:keepNext/>
        <w:suppressAutoHyphens/>
        <w:spacing w:after="0" w:line="240" w:lineRule="auto"/>
        <w:ind w:firstLine="709"/>
        <w:jc w:val="both"/>
        <w:rPr>
          <w:rFonts w:ascii="Arial" w:eastAsia="Times New Roman" w:hAnsi="Arial" w:cs="Arial"/>
          <w:sz w:val="26"/>
          <w:szCs w:val="26"/>
          <w:lang w:eastAsia="ru-RU"/>
        </w:rPr>
      </w:pPr>
    </w:p>
    <w:p w:rsidR="00126E2D" w:rsidRPr="0082524A"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924-п</w:t>
      </w:r>
      <w:r w:rsidR="009E27CE" w:rsidRPr="0082524A">
        <w:rPr>
          <w:rFonts w:ascii="Arial" w:eastAsia="Times New Roman" w:hAnsi="Arial" w:cs="Arial"/>
          <w:sz w:val="26"/>
          <w:szCs w:val="26"/>
          <w:lang w:eastAsia="ru-RU"/>
        </w:rPr>
        <w:t>, от 29.03.2019 № 232-п</w:t>
      </w:r>
      <w:r w:rsidR="003618A6" w:rsidRPr="0082524A">
        <w:rPr>
          <w:rFonts w:ascii="Arial" w:eastAsia="Times New Roman" w:hAnsi="Arial" w:cs="Arial"/>
          <w:sz w:val="26"/>
          <w:szCs w:val="26"/>
          <w:lang w:eastAsia="ru-RU"/>
        </w:rPr>
        <w:t>, от 11.09.2019 № 548-п</w:t>
      </w:r>
      <w:r w:rsidR="00CE20A3" w:rsidRPr="0082524A">
        <w:rPr>
          <w:rFonts w:ascii="Arial" w:eastAsia="Times New Roman" w:hAnsi="Arial" w:cs="Arial"/>
          <w:sz w:val="26"/>
          <w:szCs w:val="26"/>
          <w:lang w:eastAsia="ru-RU"/>
        </w:rPr>
        <w:t>, от 09.10.2019 № 619-п</w:t>
      </w:r>
      <w:r w:rsidR="004009E6" w:rsidRPr="0082524A">
        <w:rPr>
          <w:rFonts w:ascii="Arial" w:eastAsia="Times New Roman" w:hAnsi="Arial" w:cs="Arial"/>
          <w:sz w:val="26"/>
          <w:szCs w:val="26"/>
          <w:lang w:eastAsia="ru-RU"/>
        </w:rPr>
        <w:t>, от 27.12.2019 № 803-п</w:t>
      </w:r>
      <w:r w:rsidR="006A2C27">
        <w:rPr>
          <w:rFonts w:ascii="Arial" w:eastAsia="Times New Roman" w:hAnsi="Arial" w:cs="Arial"/>
          <w:sz w:val="26"/>
          <w:szCs w:val="26"/>
          <w:lang w:eastAsia="ru-RU"/>
        </w:rPr>
        <w:t>, от 10.06.2020 № 236-п</w:t>
      </w:r>
      <w:r w:rsidRPr="0082524A">
        <w:rPr>
          <w:rFonts w:ascii="Arial" w:eastAsia="Times New Roman" w:hAnsi="Arial" w:cs="Arial"/>
          <w:sz w:val="26"/>
          <w:szCs w:val="26"/>
          <w:lang w:eastAsia="ru-RU"/>
        </w:rPr>
        <w:t>)</w:t>
      </w:r>
      <w:r w:rsidR="004009E6" w:rsidRPr="0082524A">
        <w:rPr>
          <w:rFonts w:ascii="Arial" w:eastAsia="Times New Roman" w:hAnsi="Arial" w:cs="Arial"/>
          <w:sz w:val="26"/>
          <w:szCs w:val="26"/>
          <w:lang w:eastAsia="ru-RU"/>
        </w:rPr>
        <w:t xml:space="preserve"> изложив в новой редакции</w:t>
      </w:r>
      <w:r w:rsidRPr="0082524A">
        <w:rPr>
          <w:rFonts w:ascii="Arial" w:eastAsia="Times New Roman" w:hAnsi="Arial" w:cs="Arial"/>
          <w:sz w:val="26"/>
          <w:szCs w:val="26"/>
          <w:lang w:eastAsia="ru-RU"/>
        </w:rPr>
        <w:t xml:space="preserve"> согласно приложению</w:t>
      </w:r>
      <w:r w:rsidR="004009E6" w:rsidRPr="0082524A">
        <w:rPr>
          <w:rFonts w:ascii="Arial" w:eastAsia="Times New Roman" w:hAnsi="Arial" w:cs="Arial"/>
          <w:sz w:val="26"/>
          <w:szCs w:val="26"/>
          <w:lang w:eastAsia="ru-RU"/>
        </w:rPr>
        <w:t xml:space="preserve"> к настоящему постановлению</w:t>
      </w:r>
      <w:r w:rsidRPr="0082524A">
        <w:rPr>
          <w:rFonts w:ascii="Arial" w:eastAsia="Times New Roman" w:hAnsi="Arial" w:cs="Arial"/>
          <w:sz w:val="26"/>
          <w:szCs w:val="26"/>
          <w:lang w:eastAsia="ru-RU"/>
        </w:rPr>
        <w:t>.</w:t>
      </w:r>
    </w:p>
    <w:p w:rsidR="00126E2D" w:rsidRPr="0082524A"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82524A"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82524A"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Контроль за исполне</w:t>
      </w:r>
      <w:r w:rsidR="00F7616C" w:rsidRPr="0082524A">
        <w:rPr>
          <w:rFonts w:ascii="Arial" w:eastAsia="Times New Roman" w:hAnsi="Arial" w:cs="Arial"/>
          <w:sz w:val="26"/>
          <w:szCs w:val="26"/>
          <w:lang w:eastAsia="ru-RU"/>
        </w:rPr>
        <w:t>нием постановления возложить на</w:t>
      </w:r>
      <w:r w:rsidR="009E27CE" w:rsidRPr="0082524A">
        <w:rPr>
          <w:rFonts w:ascii="Arial" w:eastAsia="Times New Roman" w:hAnsi="Arial" w:cs="Arial"/>
          <w:sz w:val="26"/>
          <w:szCs w:val="26"/>
          <w:lang w:eastAsia="ru-RU"/>
        </w:rPr>
        <w:t xml:space="preserve"> </w:t>
      </w:r>
      <w:r w:rsidRPr="0082524A">
        <w:rPr>
          <w:rFonts w:ascii="Arial" w:eastAsia="Times New Roman" w:hAnsi="Arial" w:cs="Arial"/>
          <w:sz w:val="26"/>
          <w:szCs w:val="26"/>
          <w:lang w:eastAsia="ru-RU"/>
        </w:rPr>
        <w:t xml:space="preserve">заместителя Главы городского поселения </w:t>
      </w:r>
      <w:r w:rsidR="00F7616C" w:rsidRPr="0082524A">
        <w:rPr>
          <w:rFonts w:ascii="Arial" w:eastAsia="Times New Roman" w:hAnsi="Arial" w:cs="Arial"/>
          <w:sz w:val="26"/>
          <w:szCs w:val="26"/>
          <w:lang w:eastAsia="ru-RU"/>
        </w:rPr>
        <w:t>Ахмадуллина Р.Р</w:t>
      </w:r>
      <w:r w:rsidR="009E27CE" w:rsidRPr="0082524A">
        <w:rPr>
          <w:rFonts w:ascii="Arial" w:eastAsia="Times New Roman" w:hAnsi="Arial" w:cs="Arial"/>
          <w:sz w:val="26"/>
          <w:szCs w:val="26"/>
          <w:lang w:eastAsia="ru-RU"/>
        </w:rPr>
        <w:t>.</w:t>
      </w:r>
      <w:r w:rsidRPr="0082524A">
        <w:rPr>
          <w:rFonts w:ascii="Arial" w:eastAsia="Times New Roman" w:hAnsi="Arial" w:cs="Arial"/>
          <w:sz w:val="26"/>
          <w:szCs w:val="26"/>
          <w:lang w:eastAsia="ru-RU"/>
        </w:rPr>
        <w:t xml:space="preserve"> </w:t>
      </w:r>
    </w:p>
    <w:p w:rsidR="00F7616C" w:rsidRDefault="00F7616C"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242799" w:rsidRPr="0082524A" w:rsidRDefault="00242799"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4009E6" w:rsidRPr="0082524A" w:rsidRDefault="004009E6" w:rsidP="00B84C8D">
      <w:pPr>
        <w:widowControl w:val="0"/>
        <w:autoSpaceDE w:val="0"/>
        <w:autoSpaceDN w:val="0"/>
        <w:adjustRightInd w:val="0"/>
        <w:spacing w:after="0" w:line="240" w:lineRule="auto"/>
        <w:rPr>
          <w:rFonts w:ascii="Arial" w:hAnsi="Arial" w:cs="Arial"/>
          <w:sz w:val="26"/>
          <w:szCs w:val="26"/>
        </w:rPr>
      </w:pPr>
    </w:p>
    <w:p w:rsidR="00B84C8D" w:rsidRPr="0082524A" w:rsidRDefault="00B84C8D" w:rsidP="00B84C8D">
      <w:pPr>
        <w:widowControl w:val="0"/>
        <w:autoSpaceDE w:val="0"/>
        <w:autoSpaceDN w:val="0"/>
        <w:adjustRightInd w:val="0"/>
        <w:spacing w:after="0" w:line="240" w:lineRule="auto"/>
        <w:rPr>
          <w:rFonts w:ascii="Arial" w:hAnsi="Arial" w:cs="Arial"/>
          <w:sz w:val="26"/>
          <w:szCs w:val="26"/>
        </w:rPr>
      </w:pPr>
      <w:r w:rsidRPr="0082524A">
        <w:rPr>
          <w:rFonts w:ascii="Arial" w:hAnsi="Arial" w:cs="Arial"/>
          <w:sz w:val="26"/>
          <w:szCs w:val="26"/>
        </w:rPr>
        <w:t>Глав</w:t>
      </w:r>
      <w:r w:rsidR="003125E1">
        <w:rPr>
          <w:rFonts w:ascii="Arial" w:hAnsi="Arial" w:cs="Arial"/>
          <w:sz w:val="26"/>
          <w:szCs w:val="26"/>
        </w:rPr>
        <w:t>а</w:t>
      </w:r>
      <w:r w:rsidRPr="0082524A">
        <w:rPr>
          <w:rFonts w:ascii="Arial" w:hAnsi="Arial" w:cs="Arial"/>
          <w:sz w:val="26"/>
          <w:szCs w:val="26"/>
        </w:rPr>
        <w:t xml:space="preserve"> городского поселения                                                      </w:t>
      </w:r>
      <w:r w:rsidR="003125E1">
        <w:rPr>
          <w:rFonts w:ascii="Arial" w:hAnsi="Arial" w:cs="Arial"/>
          <w:sz w:val="26"/>
          <w:szCs w:val="26"/>
        </w:rPr>
        <w:t>А.А. Бочко</w:t>
      </w:r>
    </w:p>
    <w:p w:rsidR="00752361" w:rsidRPr="00396BA9" w:rsidRDefault="00752361" w:rsidP="00D87C2D">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4009E6">
        <w:tc>
          <w:tcPr>
            <w:tcW w:w="5067" w:type="dxa"/>
          </w:tcPr>
          <w:p w:rsidR="003618A6" w:rsidRDefault="003618A6"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3125E1" w:rsidRDefault="003125E1"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Pr="003618A6" w:rsidRDefault="0082524A"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lastRenderedPageBreak/>
              <w:t>Приложение</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lastRenderedPageBreak/>
              <w:t>к постановлени</w:t>
            </w:r>
            <w:r w:rsidR="00D97E15">
              <w:rPr>
                <w:rFonts w:ascii="Arial" w:eastAsia="Times New Roman" w:hAnsi="Arial" w:cs="Arial"/>
                <w:sz w:val="26"/>
                <w:szCs w:val="26"/>
                <w:lang w:eastAsia="ru-RU"/>
              </w:rPr>
              <w:t>ю</w:t>
            </w:r>
            <w:r w:rsidR="004009E6">
              <w:rPr>
                <w:rFonts w:ascii="Arial" w:eastAsia="Times New Roman" w:hAnsi="Arial" w:cs="Arial"/>
                <w:sz w:val="26"/>
                <w:szCs w:val="26"/>
                <w:lang w:eastAsia="ru-RU"/>
              </w:rPr>
              <w:t xml:space="preserve"> Администрации</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городского </w:t>
            </w:r>
            <w:r w:rsidRPr="003618A6">
              <w:rPr>
                <w:rFonts w:ascii="Arial" w:eastAsia="Times New Roman" w:hAnsi="Arial" w:cs="Arial"/>
                <w:sz w:val="26"/>
                <w:szCs w:val="26"/>
                <w:lang w:eastAsia="ru-RU"/>
              </w:rPr>
              <w:t>поселения Пойковский</w:t>
            </w:r>
          </w:p>
        </w:tc>
      </w:tr>
      <w:tr w:rsidR="003618A6" w:rsidRPr="003618A6" w:rsidTr="004009E6">
        <w:tc>
          <w:tcPr>
            <w:tcW w:w="5067" w:type="dxa"/>
          </w:tcPr>
          <w:p w:rsidR="003618A6" w:rsidRPr="003618A6" w:rsidRDefault="003618A6" w:rsidP="00547D9A">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от «</w:t>
            </w:r>
            <w:r w:rsidR="00547D9A">
              <w:rPr>
                <w:rFonts w:ascii="Arial" w:eastAsia="Times New Roman" w:hAnsi="Arial" w:cs="Arial"/>
                <w:sz w:val="26"/>
                <w:szCs w:val="26"/>
                <w:u w:val="single"/>
                <w:lang w:eastAsia="ru-RU"/>
              </w:rPr>
              <w:t>09</w:t>
            </w:r>
            <w:r w:rsidRPr="003618A6">
              <w:rPr>
                <w:rFonts w:ascii="Arial" w:eastAsia="Times New Roman" w:hAnsi="Arial" w:cs="Arial"/>
                <w:sz w:val="26"/>
                <w:szCs w:val="26"/>
                <w:lang w:eastAsia="ru-RU"/>
              </w:rPr>
              <w:t>» _</w:t>
            </w:r>
            <w:r w:rsidR="00547D9A">
              <w:rPr>
                <w:rFonts w:ascii="Arial" w:eastAsia="Times New Roman" w:hAnsi="Arial" w:cs="Arial"/>
                <w:sz w:val="26"/>
                <w:szCs w:val="26"/>
                <w:u w:val="single"/>
                <w:lang w:eastAsia="ru-RU"/>
              </w:rPr>
              <w:t>09.2020</w:t>
            </w:r>
            <w:r w:rsidRPr="003618A6">
              <w:rPr>
                <w:rFonts w:ascii="Arial" w:eastAsia="Times New Roman" w:hAnsi="Arial" w:cs="Arial"/>
                <w:sz w:val="26"/>
                <w:szCs w:val="26"/>
                <w:lang w:eastAsia="ru-RU"/>
              </w:rPr>
              <w:t>_ № _</w:t>
            </w:r>
            <w:r w:rsidR="00547D9A">
              <w:rPr>
                <w:rFonts w:ascii="Arial" w:eastAsia="Times New Roman" w:hAnsi="Arial" w:cs="Arial"/>
                <w:sz w:val="26"/>
                <w:szCs w:val="26"/>
                <w:u w:val="single"/>
                <w:lang w:eastAsia="ru-RU"/>
              </w:rPr>
              <w:t>401-п</w:t>
            </w:r>
            <w:r w:rsidRPr="003618A6">
              <w:rPr>
                <w:rFonts w:ascii="Arial" w:eastAsia="Times New Roman" w:hAnsi="Arial" w:cs="Arial"/>
                <w:sz w:val="26"/>
                <w:szCs w:val="26"/>
                <w:lang w:eastAsia="ru-RU"/>
              </w:rPr>
              <w:t>__</w:t>
            </w:r>
          </w:p>
        </w:tc>
      </w:tr>
    </w:tbl>
    <w:p w:rsidR="00886A9C" w:rsidRDefault="00886A9C" w:rsidP="00D87C2D">
      <w:pPr>
        <w:spacing w:after="0" w:line="240" w:lineRule="auto"/>
        <w:ind w:firstLine="709"/>
        <w:jc w:val="center"/>
        <w:rPr>
          <w:rFonts w:ascii="Arial" w:eastAsia="Times New Roman" w:hAnsi="Arial" w:cs="Arial"/>
          <w:b/>
          <w:sz w:val="26"/>
          <w:szCs w:val="26"/>
          <w:lang w:eastAsia="ru-RU"/>
        </w:rPr>
      </w:pPr>
    </w:p>
    <w:p w:rsidR="0082524A" w:rsidRPr="00C97700" w:rsidRDefault="0082524A" w:rsidP="0082524A">
      <w:pPr>
        <w:spacing w:after="0" w:line="240" w:lineRule="auto"/>
        <w:jc w:val="center"/>
        <w:rPr>
          <w:rFonts w:ascii="Arial" w:eastAsia="Times New Roman" w:hAnsi="Arial" w:cs="Arial"/>
          <w:b/>
          <w:sz w:val="26"/>
          <w:szCs w:val="26"/>
          <w:lang w:eastAsia="ru-RU"/>
        </w:rPr>
      </w:pPr>
    </w:p>
    <w:p w:rsidR="00203624"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5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163"/>
      </w:tblGrid>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«Защита населения и </w:t>
            </w:r>
            <w:bookmarkStart w:id="0" w:name="_GoBack"/>
            <w:bookmarkEnd w:id="0"/>
            <w:r w:rsidRPr="00C97700">
              <w:rPr>
                <w:rFonts w:ascii="Arial" w:eastAsia="Times New Roman" w:hAnsi="Arial" w:cs="Arial"/>
                <w:sz w:val="26"/>
                <w:szCs w:val="26"/>
                <w:lang w:eastAsia="ru-RU"/>
              </w:rPr>
              <w:t>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161"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4009E6">
            <w:pPr>
              <w:spacing w:after="0" w:line="240" w:lineRule="auto"/>
              <w:jc w:val="both"/>
              <w:rPr>
                <w:rFonts w:ascii="Arial" w:eastAsia="Times New Roman" w:hAnsi="Arial" w:cs="Arial"/>
                <w:sz w:val="26"/>
                <w:szCs w:val="26"/>
                <w:lang w:eastAsia="ru-RU"/>
              </w:rPr>
            </w:pPr>
            <w:r>
              <w:rPr>
                <w:rFonts w:ascii="Arial" w:eastAsia="Times New Roman" w:hAnsi="Arial" w:cs="Arial"/>
                <w:sz w:val="26"/>
                <w:szCs w:val="26"/>
                <w:lang w:eastAsia="ru-RU"/>
              </w:rPr>
              <w:t>Постановление Администрации городского поселения Пойковский от 31.10.2016 №</w:t>
            </w:r>
            <w:r w:rsidR="003116AB">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445-п </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4009E6">
            <w:pPr>
              <w:tabs>
                <w:tab w:val="left" w:pos="0"/>
                <w:tab w:val="left" w:pos="57"/>
                <w:tab w:val="left" w:pos="328"/>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82524A" w:rsidRPr="0082524A" w:rsidRDefault="00FA5B16" w:rsidP="0082524A">
            <w:pPr>
              <w:numPr>
                <w:ilvl w:val="0"/>
                <w:numId w:val="2"/>
              </w:numPr>
              <w:tabs>
                <w:tab w:val="left" w:pos="-7"/>
                <w:tab w:val="left" w:pos="60"/>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Сроки реализации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4009E6">
            <w:pPr>
              <w:tabs>
                <w:tab w:val="left" w:pos="328"/>
              </w:tabs>
              <w:spacing w:after="0" w:line="240" w:lineRule="auto"/>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E5939" w:rsidRPr="00C97700" w:rsidTr="00D85DC3">
        <w:trPr>
          <w:trHeight w:val="119"/>
          <w:jc w:val="right"/>
        </w:trPr>
        <w:tc>
          <w:tcPr>
            <w:tcW w:w="4395" w:type="dxa"/>
            <w:vMerge w:val="restart"/>
            <w:tcBorders>
              <w:top w:val="single" w:sz="4" w:space="0" w:color="auto"/>
              <w:left w:val="single" w:sz="4" w:space="0" w:color="auto"/>
              <w:right w:val="single" w:sz="4" w:space="0" w:color="auto"/>
            </w:tcBorders>
          </w:tcPr>
          <w:p w:rsidR="002E5939" w:rsidRPr="00C97700" w:rsidRDefault="002E5939" w:rsidP="002E5939">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Финансовое обеспечение муниципальной программы</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E5939" w:rsidRPr="00C97700" w:rsidRDefault="002E5939" w:rsidP="004009E6">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 руб., в том числе:</w:t>
            </w:r>
          </w:p>
        </w:tc>
        <w:tc>
          <w:tcPr>
            <w:tcW w:w="2163"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0058BC" w:rsidP="004009E6">
            <w:pPr>
              <w:jc w:val="right"/>
              <w:rPr>
                <w:rFonts w:ascii="Arial" w:hAnsi="Arial" w:cs="Arial"/>
                <w:b/>
                <w:bCs/>
                <w:sz w:val="26"/>
                <w:szCs w:val="26"/>
              </w:rPr>
            </w:pPr>
            <w:r>
              <w:rPr>
                <w:rFonts w:ascii="Arial" w:hAnsi="Arial" w:cs="Arial"/>
                <w:b/>
                <w:bCs/>
                <w:sz w:val="26"/>
                <w:szCs w:val="26"/>
              </w:rPr>
              <w:t>23</w:t>
            </w:r>
            <w:r w:rsidR="00526492">
              <w:rPr>
                <w:rFonts w:ascii="Arial" w:hAnsi="Arial" w:cs="Arial"/>
                <w:b/>
                <w:bCs/>
                <w:sz w:val="26"/>
                <w:szCs w:val="26"/>
              </w:rPr>
              <w:t xml:space="preserve"> </w:t>
            </w:r>
            <w:r>
              <w:rPr>
                <w:rFonts w:ascii="Arial" w:hAnsi="Arial" w:cs="Arial"/>
                <w:b/>
                <w:bCs/>
                <w:sz w:val="26"/>
                <w:szCs w:val="26"/>
              </w:rPr>
              <w:t>806,54227</w:t>
            </w:r>
            <w:r w:rsidR="002E5939">
              <w:rPr>
                <w:rFonts w:ascii="Arial" w:hAnsi="Arial" w:cs="Arial"/>
                <w:b/>
                <w:bCs/>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1 173,87570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0058BC" w:rsidP="00D85DC3">
            <w:pPr>
              <w:spacing w:line="240" w:lineRule="auto"/>
              <w:jc w:val="right"/>
              <w:rPr>
                <w:rFonts w:ascii="Arial" w:hAnsi="Arial" w:cs="Arial"/>
                <w:sz w:val="26"/>
                <w:szCs w:val="26"/>
              </w:rPr>
            </w:pPr>
            <w:r>
              <w:rPr>
                <w:rFonts w:ascii="Arial" w:hAnsi="Arial" w:cs="Arial"/>
                <w:sz w:val="26"/>
                <w:szCs w:val="26"/>
              </w:rPr>
              <w:t>9232,66657</w:t>
            </w:r>
            <w:r w:rsidR="002E5939" w:rsidRPr="002E5939">
              <w:rPr>
                <w:rFonts w:ascii="Arial" w:hAnsi="Arial" w:cs="Arial"/>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1 630,00000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1 550,00000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1 300,00000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602069"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074F6A" w:rsidRPr="00C97700" w:rsidTr="00D85DC3">
        <w:trPr>
          <w:trHeight w:val="284"/>
          <w:jc w:val="right"/>
        </w:trPr>
        <w:tc>
          <w:tcPr>
            <w:tcW w:w="4395" w:type="dxa"/>
            <w:vMerge/>
            <w:tcBorders>
              <w:left w:val="single" w:sz="4" w:space="0" w:color="auto"/>
              <w:right w:val="single" w:sz="4" w:space="0" w:color="auto"/>
            </w:tcBorders>
          </w:tcPr>
          <w:p w:rsidR="00074F6A" w:rsidRPr="00C97700" w:rsidRDefault="00074F6A" w:rsidP="00074F6A">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074F6A" w:rsidRPr="00C97700" w:rsidRDefault="00074F6A" w:rsidP="00074F6A">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163" w:type="dxa"/>
            <w:tcBorders>
              <w:top w:val="single" w:sz="4" w:space="0" w:color="auto"/>
              <w:left w:val="single" w:sz="4" w:space="0" w:color="auto"/>
              <w:bottom w:val="single" w:sz="4" w:space="0" w:color="auto"/>
              <w:right w:val="single" w:sz="4" w:space="0" w:color="auto"/>
            </w:tcBorders>
          </w:tcPr>
          <w:p w:rsidR="00074F6A" w:rsidRPr="00DD48D8" w:rsidRDefault="00B213EE" w:rsidP="00DD48D8">
            <w:pPr>
              <w:pStyle w:val="a3"/>
              <w:tabs>
                <w:tab w:val="left" w:pos="0"/>
              </w:tabs>
              <w:spacing w:after="0" w:line="240" w:lineRule="auto"/>
              <w:ind w:left="0"/>
              <w:jc w:val="right"/>
              <w:rPr>
                <w:rStyle w:val="ac"/>
                <w:rFonts w:ascii="Arial" w:hAnsi="Arial" w:cs="Arial"/>
                <w:sz w:val="26"/>
                <w:szCs w:val="26"/>
              </w:rPr>
            </w:pPr>
            <w:r w:rsidRPr="00DD48D8">
              <w:rPr>
                <w:rStyle w:val="ac"/>
                <w:rFonts w:ascii="Arial" w:hAnsi="Arial" w:cs="Arial"/>
                <w:sz w:val="26"/>
                <w:szCs w:val="26"/>
              </w:rPr>
              <w:t>7</w:t>
            </w:r>
            <w:r w:rsidR="00526492">
              <w:rPr>
                <w:rStyle w:val="ac"/>
                <w:rFonts w:ascii="Arial" w:hAnsi="Arial" w:cs="Arial"/>
                <w:sz w:val="26"/>
                <w:szCs w:val="26"/>
              </w:rPr>
              <w:t xml:space="preserve"> </w:t>
            </w:r>
            <w:r w:rsidRPr="00DD48D8">
              <w:rPr>
                <w:rStyle w:val="ac"/>
                <w:rFonts w:ascii="Arial" w:hAnsi="Arial" w:cs="Arial"/>
                <w:sz w:val="26"/>
                <w:szCs w:val="26"/>
              </w:rPr>
              <w:t>275,0032</w:t>
            </w:r>
            <w:r w:rsidR="00DD48D8" w:rsidRPr="00DD48D8">
              <w:rPr>
                <w:rStyle w:val="ac"/>
                <w:rFonts w:ascii="Arial" w:hAnsi="Arial" w:cs="Arial"/>
                <w:sz w:val="26"/>
                <w:szCs w:val="26"/>
              </w:rPr>
              <w:t>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DD1E03"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202,33663</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0058BC"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7</w:t>
            </w:r>
            <w:r w:rsidR="00526492">
              <w:rPr>
                <w:rFonts w:ascii="Arial" w:hAnsi="Arial" w:cs="Arial"/>
                <w:sz w:val="26"/>
                <w:szCs w:val="26"/>
              </w:rPr>
              <w:t xml:space="preserve"> </w:t>
            </w:r>
            <w:r>
              <w:rPr>
                <w:rFonts w:ascii="Arial" w:hAnsi="Arial" w:cs="Arial"/>
                <w:sz w:val="26"/>
                <w:szCs w:val="26"/>
              </w:rPr>
              <w:t>072,66657</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E5939" w:rsidRPr="002E5939" w:rsidTr="00D85DC3">
        <w:trPr>
          <w:trHeigh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163" w:type="dxa"/>
            <w:tcBorders>
              <w:top w:val="single" w:sz="4" w:space="0" w:color="auto"/>
              <w:left w:val="single" w:sz="4" w:space="0" w:color="auto"/>
              <w:bottom w:val="single" w:sz="4" w:space="0" w:color="auto"/>
              <w:right w:val="single" w:sz="4" w:space="0" w:color="auto"/>
            </w:tcBorders>
          </w:tcPr>
          <w:p w:rsidR="002E5939" w:rsidRPr="002E5939" w:rsidRDefault="00390BB3" w:rsidP="00390BB3">
            <w:pPr>
              <w:jc w:val="right"/>
              <w:rPr>
                <w:rFonts w:ascii="Arial" w:hAnsi="Arial" w:cs="Arial"/>
                <w:b/>
                <w:bCs/>
                <w:sz w:val="26"/>
                <w:szCs w:val="26"/>
              </w:rPr>
            </w:pPr>
            <w:r>
              <w:rPr>
                <w:rFonts w:ascii="Arial" w:hAnsi="Arial" w:cs="Arial"/>
                <w:b/>
                <w:bCs/>
                <w:sz w:val="26"/>
                <w:szCs w:val="26"/>
              </w:rPr>
              <w:t>13 041</w:t>
            </w:r>
            <w:r w:rsidR="002E5939" w:rsidRPr="002E5939">
              <w:rPr>
                <w:rFonts w:ascii="Arial" w:hAnsi="Arial" w:cs="Arial"/>
                <w:b/>
                <w:bCs/>
                <w:sz w:val="26"/>
                <w:szCs w:val="26"/>
              </w:rPr>
              <w:t xml:space="preserve">,53907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2019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971,53907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390BB3" w:rsidP="004009E6">
            <w:pPr>
              <w:jc w:val="right"/>
              <w:rPr>
                <w:rFonts w:ascii="Arial" w:eastAsia="Calibri" w:hAnsi="Arial" w:cs="Arial"/>
                <w:color w:val="000000"/>
                <w:sz w:val="26"/>
                <w:szCs w:val="26"/>
              </w:rPr>
            </w:pPr>
            <w:r>
              <w:rPr>
                <w:rFonts w:ascii="Arial" w:eastAsia="Calibri" w:hAnsi="Arial" w:cs="Arial"/>
                <w:color w:val="000000"/>
                <w:sz w:val="26"/>
                <w:szCs w:val="26"/>
              </w:rPr>
              <w:t>750,00000</w:t>
            </w:r>
            <w:r w:rsidR="002E5939" w:rsidRPr="004009E6">
              <w:rPr>
                <w:rFonts w:ascii="Arial" w:eastAsia="Calibri" w:hAnsi="Arial" w:cs="Arial"/>
                <w:color w:val="000000"/>
                <w:sz w:val="26"/>
                <w:szCs w:val="26"/>
              </w:rPr>
              <w:t xml:space="preserve">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2022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1 120,00000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390BB3" w:rsidRDefault="00203624" w:rsidP="004009E6">
            <w:pPr>
              <w:autoSpaceDE w:val="0"/>
              <w:autoSpaceDN w:val="0"/>
              <w:adjustRightInd w:val="0"/>
              <w:spacing w:after="0" w:line="240" w:lineRule="auto"/>
              <w:rPr>
                <w:rFonts w:ascii="Arial" w:eastAsia="Calibri" w:hAnsi="Arial" w:cs="Arial"/>
                <w:b/>
                <w:color w:val="000000"/>
                <w:sz w:val="26"/>
                <w:szCs w:val="26"/>
              </w:rPr>
            </w:pPr>
            <w:r w:rsidRPr="00390BB3">
              <w:rPr>
                <w:rFonts w:ascii="Arial" w:eastAsia="Calibri" w:hAnsi="Arial" w:cs="Arial"/>
                <w:b/>
                <w:color w:val="000000"/>
                <w:sz w:val="26"/>
                <w:szCs w:val="26"/>
              </w:rPr>
              <w:t xml:space="preserve">Иные источники </w:t>
            </w:r>
          </w:p>
        </w:tc>
        <w:tc>
          <w:tcPr>
            <w:tcW w:w="2163" w:type="dxa"/>
            <w:tcBorders>
              <w:top w:val="single" w:sz="4" w:space="0" w:color="auto"/>
              <w:left w:val="single" w:sz="4" w:space="0" w:color="auto"/>
              <w:bottom w:val="single" w:sz="4" w:space="0" w:color="auto"/>
              <w:right w:val="single" w:sz="4" w:space="0" w:color="auto"/>
            </w:tcBorders>
          </w:tcPr>
          <w:p w:rsidR="00203624" w:rsidRPr="00390BB3" w:rsidRDefault="002E5939" w:rsidP="004009E6">
            <w:pPr>
              <w:pStyle w:val="a3"/>
              <w:tabs>
                <w:tab w:val="left" w:pos="0"/>
              </w:tabs>
              <w:spacing w:after="0" w:line="240" w:lineRule="auto"/>
              <w:ind w:left="0"/>
              <w:jc w:val="right"/>
              <w:rPr>
                <w:rFonts w:ascii="Arial" w:eastAsia="Calibri" w:hAnsi="Arial" w:cs="Arial"/>
                <w:b/>
                <w:color w:val="000000"/>
                <w:sz w:val="26"/>
                <w:szCs w:val="26"/>
              </w:rPr>
            </w:pPr>
            <w:r w:rsidRPr="00390BB3">
              <w:rPr>
                <w:rFonts w:ascii="Arial" w:eastAsia="Calibri" w:hAnsi="Arial" w:cs="Arial"/>
                <w:b/>
                <w:color w:val="000000"/>
                <w:sz w:val="26"/>
                <w:szCs w:val="26"/>
              </w:rPr>
              <w:t xml:space="preserve">3 490,00000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602069"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w:t>
            </w:r>
            <w:r w:rsidR="0092544A" w:rsidRPr="004009E6">
              <w:rPr>
                <w:rFonts w:ascii="Arial" w:eastAsia="Calibri" w:hAnsi="Arial" w:cs="Arial"/>
                <w:color w:val="000000"/>
                <w:sz w:val="26"/>
                <w:szCs w:val="26"/>
              </w:rPr>
              <w:t>,0</w:t>
            </w:r>
            <w:r w:rsidRPr="004009E6">
              <w:rPr>
                <w:rFonts w:ascii="Arial" w:eastAsia="Calibri" w:hAnsi="Arial" w:cs="Arial"/>
                <w:color w:val="000000"/>
                <w:sz w:val="26"/>
                <w:szCs w:val="26"/>
              </w:rPr>
              <w:t>000</w:t>
            </w:r>
            <w:r w:rsidR="0092544A" w:rsidRPr="004009E6">
              <w:rPr>
                <w:rFonts w:ascii="Arial" w:eastAsia="Calibri" w:hAnsi="Arial" w:cs="Arial"/>
                <w:color w:val="000000"/>
                <w:sz w:val="26"/>
                <w:szCs w:val="26"/>
              </w:rPr>
              <w:t>0</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1 410,00000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1 080,00000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1</w:t>
            </w:r>
            <w:r w:rsidR="004009E6">
              <w:rPr>
                <w:rFonts w:ascii="Arial" w:eastAsia="Calibri" w:hAnsi="Arial" w:cs="Arial"/>
                <w:color w:val="000000"/>
                <w:sz w:val="26"/>
                <w:szCs w:val="26"/>
              </w:rPr>
              <w:t> </w:t>
            </w:r>
            <w:r w:rsidRPr="004009E6">
              <w:rPr>
                <w:rFonts w:ascii="Arial" w:eastAsia="Calibri" w:hAnsi="Arial" w:cs="Arial"/>
                <w:color w:val="000000"/>
                <w:sz w:val="26"/>
                <w:szCs w:val="26"/>
              </w:rPr>
              <w:t>000,00000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203624" w:rsidRPr="004009E6" w:rsidTr="00D85DC3">
        <w:trPr>
          <w:trHeight w:hRule="exact" w:val="284"/>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203624"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4009E6"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w:t>
      </w:r>
    </w:p>
    <w:p w:rsidR="00886A9C" w:rsidRPr="00C97700"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07E1D"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xml:space="preserve">.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w:t>
      </w:r>
      <w:r w:rsidRPr="00F07E1D">
        <w:rPr>
          <w:rFonts w:ascii="Arial" w:eastAsia="Times New Roman" w:hAnsi="Arial" w:cs="Arial"/>
          <w:sz w:val="26"/>
          <w:szCs w:val="26"/>
          <w:lang w:eastAsia="ru-RU"/>
        </w:rPr>
        <w:t>В период с</w:t>
      </w:r>
      <w:r w:rsidR="007450A1" w:rsidRPr="00F07E1D">
        <w:rPr>
          <w:rFonts w:ascii="Arial" w:eastAsia="Times New Roman" w:hAnsi="Arial" w:cs="Arial"/>
          <w:sz w:val="26"/>
          <w:szCs w:val="26"/>
          <w:lang w:eastAsia="ru-RU"/>
        </w:rPr>
        <w:t xml:space="preserve"> 2016</w:t>
      </w:r>
      <w:r w:rsidR="003853D5" w:rsidRPr="00F07E1D">
        <w:rPr>
          <w:rFonts w:ascii="Arial" w:eastAsia="Times New Roman" w:hAnsi="Arial" w:cs="Arial"/>
          <w:sz w:val="26"/>
          <w:szCs w:val="26"/>
          <w:lang w:eastAsia="ru-RU"/>
        </w:rPr>
        <w:t xml:space="preserve"> по 201</w:t>
      </w:r>
      <w:r w:rsidR="00F07E1D" w:rsidRPr="00F07E1D">
        <w:rPr>
          <w:rFonts w:ascii="Arial" w:eastAsia="Times New Roman" w:hAnsi="Arial" w:cs="Arial"/>
          <w:sz w:val="26"/>
          <w:szCs w:val="26"/>
          <w:lang w:eastAsia="ru-RU"/>
        </w:rPr>
        <w:t>9</w:t>
      </w:r>
      <w:r w:rsidRPr="00F07E1D">
        <w:rPr>
          <w:rFonts w:ascii="Arial" w:eastAsia="Times New Roman" w:hAnsi="Arial" w:cs="Arial"/>
          <w:sz w:val="26"/>
          <w:szCs w:val="26"/>
          <w:lang w:eastAsia="ru-RU"/>
        </w:rPr>
        <w:t xml:space="preserve"> год</w:t>
      </w:r>
      <w:r w:rsidR="003860CD" w:rsidRPr="00F07E1D">
        <w:rPr>
          <w:rFonts w:ascii="Arial" w:eastAsia="Times New Roman" w:hAnsi="Arial" w:cs="Arial"/>
          <w:sz w:val="26"/>
          <w:szCs w:val="26"/>
          <w:lang w:eastAsia="ru-RU"/>
        </w:rPr>
        <w:t>ы</w:t>
      </w:r>
      <w:r w:rsidRPr="00F07E1D">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w:t>
      </w:r>
      <w:r w:rsidRPr="00C97700">
        <w:rPr>
          <w:rFonts w:ascii="Arial" w:eastAsia="Times New Roman" w:hAnsi="Arial" w:cs="Arial"/>
          <w:sz w:val="26"/>
          <w:szCs w:val="26"/>
          <w:lang w:eastAsia="ru-RU"/>
        </w:rPr>
        <w:lastRenderedPageBreak/>
        <w:t>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5DC3"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w:t>
      </w:r>
      <w:r w:rsidRPr="00D85DC3">
        <w:rPr>
          <w:rFonts w:ascii="Arial" w:eastAsia="Times New Roman" w:hAnsi="Arial" w:cs="Arial"/>
          <w:sz w:val="26"/>
          <w:szCs w:val="26"/>
          <w:lang w:eastAsia="ru-RU"/>
        </w:rPr>
        <w:t xml:space="preserve">возможно лишь с использованием программных методов. </w:t>
      </w:r>
    </w:p>
    <w:p w:rsidR="00886A9C" w:rsidRPr="00F07E1D" w:rsidRDefault="00F07E1D" w:rsidP="00D87C2D">
      <w:pPr>
        <w:tabs>
          <w:tab w:val="left" w:pos="826"/>
        </w:tabs>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Н</w:t>
      </w:r>
      <w:r w:rsidRPr="00F07E1D">
        <w:rPr>
          <w:rFonts w:ascii="Arial" w:eastAsia="Times New Roman" w:hAnsi="Arial" w:cs="Arial"/>
          <w:sz w:val="26"/>
          <w:szCs w:val="26"/>
          <w:lang w:eastAsia="ru-RU"/>
        </w:rPr>
        <w:t xml:space="preserve">а территории городского поселения Пойковский </w:t>
      </w:r>
      <w:r>
        <w:rPr>
          <w:rFonts w:ascii="Arial" w:eastAsia="Times New Roman" w:hAnsi="Arial" w:cs="Arial"/>
          <w:sz w:val="26"/>
          <w:szCs w:val="26"/>
          <w:lang w:eastAsia="ru-RU"/>
        </w:rPr>
        <w:t>з</w:t>
      </w:r>
      <w:r w:rsidR="000E5EC2" w:rsidRPr="00F07E1D">
        <w:rPr>
          <w:rFonts w:ascii="Arial" w:eastAsia="Times New Roman" w:hAnsi="Arial" w:cs="Arial"/>
          <w:sz w:val="26"/>
          <w:szCs w:val="26"/>
          <w:lang w:eastAsia="ru-RU"/>
        </w:rPr>
        <w:t>а 2018</w:t>
      </w:r>
      <w:r w:rsidR="000A645C" w:rsidRPr="00F07E1D">
        <w:rPr>
          <w:rFonts w:ascii="Arial" w:eastAsia="Times New Roman" w:hAnsi="Arial" w:cs="Arial"/>
          <w:sz w:val="26"/>
          <w:szCs w:val="26"/>
          <w:lang w:eastAsia="ru-RU"/>
        </w:rPr>
        <w:t xml:space="preserve"> год</w:t>
      </w:r>
      <w:r w:rsidRPr="00F07E1D">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зарегистрировано </w:t>
      </w:r>
      <w:r w:rsidRPr="00F07E1D">
        <w:rPr>
          <w:rFonts w:ascii="Arial" w:eastAsia="Times New Roman" w:hAnsi="Arial" w:cs="Arial"/>
          <w:sz w:val="26"/>
          <w:szCs w:val="26"/>
          <w:lang w:eastAsia="ru-RU"/>
        </w:rPr>
        <w:t>8 пожаров, за 2019 год 18 пожаров. Увеличение количества пожаров связано с криминальным</w:t>
      </w:r>
      <w:r>
        <w:rPr>
          <w:rFonts w:ascii="Arial" w:eastAsia="Times New Roman" w:hAnsi="Arial" w:cs="Arial"/>
          <w:sz w:val="26"/>
          <w:szCs w:val="26"/>
          <w:lang w:eastAsia="ru-RU"/>
        </w:rPr>
        <w:t>и</w:t>
      </w:r>
      <w:r w:rsidRPr="00F07E1D">
        <w:rPr>
          <w:rFonts w:ascii="Arial" w:eastAsia="Times New Roman" w:hAnsi="Arial" w:cs="Arial"/>
          <w:sz w:val="26"/>
          <w:szCs w:val="26"/>
          <w:lang w:eastAsia="ru-RU"/>
        </w:rPr>
        <w:t xml:space="preserve"> поджогами. </w:t>
      </w:r>
      <w:r w:rsidR="000E5EC2" w:rsidRPr="00F07E1D">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F07E1D">
        <w:rPr>
          <w:rFonts w:ascii="Arial" w:eastAsia="Times New Roman" w:hAnsi="Arial" w:cs="Arial"/>
          <w:sz w:val="26"/>
          <w:szCs w:val="26"/>
        </w:rPr>
        <w:t>Частота пожаров отражает общий уровень</w:t>
      </w:r>
      <w:r w:rsidRPr="00C97700">
        <w:rPr>
          <w:rFonts w:ascii="Arial" w:eastAsia="Times New Roman" w:hAnsi="Arial" w:cs="Arial"/>
          <w:sz w:val="26"/>
          <w:szCs w:val="26"/>
        </w:rPr>
        <w:t xml:space="preserve">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Default="00886A9C" w:rsidP="00D87C2D">
      <w:pPr>
        <w:tabs>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C07162" w:rsidRPr="00C97700" w:rsidRDefault="00C07162" w:rsidP="00D87C2D">
      <w:pPr>
        <w:tabs>
          <w:tab w:val="left" w:pos="826"/>
        </w:tabs>
        <w:spacing w:after="0" w:line="240" w:lineRule="auto"/>
        <w:ind w:firstLine="709"/>
        <w:jc w:val="both"/>
        <w:rPr>
          <w:rFonts w:ascii="Arial" w:eastAsia="Times New Roman" w:hAnsi="Arial" w:cs="Arial"/>
          <w:sz w:val="26"/>
          <w:szCs w:val="26"/>
        </w:rPr>
      </w:pPr>
      <w:r w:rsidRPr="00C07162">
        <w:rPr>
          <w:rFonts w:ascii="Arial" w:eastAsia="Times New Roman" w:hAnsi="Arial" w:cs="Arial"/>
          <w:sz w:val="26"/>
          <w:szCs w:val="26"/>
        </w:rPr>
        <w:t xml:space="preserve">В </w:t>
      </w:r>
      <w:r>
        <w:rPr>
          <w:rFonts w:ascii="Arial" w:eastAsia="Times New Roman" w:hAnsi="Arial" w:cs="Arial"/>
          <w:sz w:val="26"/>
          <w:szCs w:val="26"/>
        </w:rPr>
        <w:t>рамках программных мероприятий в целях</w:t>
      </w:r>
      <w:r w:rsidRPr="00C07162">
        <w:rPr>
          <w:rFonts w:ascii="Arial" w:eastAsia="Times New Roman" w:hAnsi="Arial" w:cs="Arial"/>
          <w:sz w:val="26"/>
          <w:szCs w:val="26"/>
        </w:rPr>
        <w:t xml:space="preserve"> предотвращения завоза и распространения новой коронавирусной инфекции, вызванной COVID-2019, на территории Нефтеюганского района</w:t>
      </w:r>
      <w:r>
        <w:rPr>
          <w:rFonts w:ascii="Arial" w:eastAsia="Times New Roman" w:hAnsi="Arial" w:cs="Arial"/>
          <w:sz w:val="26"/>
          <w:szCs w:val="26"/>
        </w:rPr>
        <w:t xml:space="preserve"> и городского поселения Пойковский запланированы мероприятия</w:t>
      </w:r>
      <w:r w:rsidR="00D85DC3">
        <w:rPr>
          <w:rFonts w:ascii="Arial" w:eastAsia="Times New Roman" w:hAnsi="Arial" w:cs="Arial"/>
          <w:sz w:val="26"/>
          <w:szCs w:val="26"/>
        </w:rPr>
        <w:t xml:space="preserve"> по п</w:t>
      </w:r>
      <w:r w:rsidRPr="00C07162">
        <w:rPr>
          <w:rFonts w:ascii="Arial" w:eastAsia="Times New Roman" w:hAnsi="Arial" w:cs="Arial"/>
          <w:sz w:val="26"/>
          <w:szCs w:val="26"/>
        </w:rPr>
        <w:t>роведени</w:t>
      </w:r>
      <w:r w:rsidR="00D85DC3">
        <w:rPr>
          <w:rFonts w:ascii="Arial" w:eastAsia="Times New Roman" w:hAnsi="Arial" w:cs="Arial"/>
          <w:sz w:val="26"/>
          <w:szCs w:val="26"/>
        </w:rPr>
        <w:t>ю</w:t>
      </w:r>
      <w:r w:rsidRPr="00C07162">
        <w:rPr>
          <w:rFonts w:ascii="Arial" w:eastAsia="Times New Roman" w:hAnsi="Arial" w:cs="Arial"/>
          <w:sz w:val="26"/>
          <w:szCs w:val="26"/>
        </w:rPr>
        <w:t xml:space="preserve"> санитарно-противоэпидемиологических мероприятий, связанных с профилактикой и устранением последствий распространения новой коронавирусной инфекции (COVID-19) на территории муниципального образования</w:t>
      </w:r>
      <w:r w:rsidR="00D85DC3">
        <w:rPr>
          <w:rFonts w:ascii="Arial" w:eastAsia="Times New Roman" w:hAnsi="Arial" w:cs="Arial"/>
          <w:sz w:val="26"/>
          <w:szCs w:val="26"/>
        </w:rPr>
        <w:t xml:space="preserve">. </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xml:space="preserve">. Данный показатель будет складываться </w:t>
      </w:r>
      <w:r w:rsidR="00412AEC" w:rsidRPr="00C97700">
        <w:rPr>
          <w:rFonts w:ascii="Arial" w:eastAsia="Times New Roman" w:hAnsi="Arial" w:cs="Arial"/>
          <w:sz w:val="26"/>
          <w:szCs w:val="26"/>
          <w:lang w:eastAsia="ru-RU"/>
        </w:rPr>
        <w:lastRenderedPageBreak/>
        <w:t>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F07E1D"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F07E1D">
        <w:rPr>
          <w:rFonts w:ascii="Arial" w:eastAsia="Times New Roman" w:hAnsi="Arial" w:cs="Arial"/>
          <w:sz w:val="26"/>
          <w:szCs w:val="26"/>
          <w:lang w:eastAsia="ru-RU"/>
        </w:rPr>
        <w:t>Муниципальная программа состоит из следующих мероприятий</w:t>
      </w:r>
      <w:r w:rsidR="00F07E1D" w:rsidRPr="00F07E1D">
        <w:rPr>
          <w:rFonts w:ascii="Arial" w:eastAsia="Times New Roman" w:hAnsi="Arial" w:cs="Arial"/>
          <w:sz w:val="26"/>
          <w:szCs w:val="26"/>
          <w:lang w:eastAsia="ru-RU"/>
        </w:rPr>
        <w:t>:</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«Мероприятия по обеспечению пожарной безопасности на территории городского поселения Пойковский»;</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«Снижение рисков и смягчение последствий чрезвычайных ситуаций природного и техногенного характера»;</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«Обеспечение комплексной безопасности».</w:t>
      </w:r>
    </w:p>
    <w:p w:rsidR="00886A9C" w:rsidRPr="00F07E1D"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Программные мероприятия направлены на:</w:t>
      </w:r>
    </w:p>
    <w:p w:rsidR="00886A9C" w:rsidRPr="00F07E1D"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F07E1D"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повышение уровня пожарной</w:t>
      </w:r>
      <w:r w:rsidR="00720BBD" w:rsidRPr="00F07E1D">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F07E1D">
        <w:rPr>
          <w:rFonts w:ascii="Arial" w:eastAsia="Times New Roman" w:hAnsi="Arial" w:cs="Arial"/>
          <w:sz w:val="26"/>
          <w:szCs w:val="26"/>
          <w:lang w:eastAsia="ru-RU"/>
        </w:rPr>
        <w:t xml:space="preserve"> </w:t>
      </w:r>
      <w:r w:rsidRPr="00F07E1D">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F07E1D">
        <w:rPr>
          <w:rFonts w:ascii="Arial" w:eastAsia="Times New Roman" w:hAnsi="Arial" w:cs="Arial"/>
          <w:sz w:val="26"/>
          <w:szCs w:val="26"/>
        </w:rPr>
        <w:t>повышение эффективности действий</w:t>
      </w:r>
      <w:r w:rsidRPr="00C97700">
        <w:rPr>
          <w:rFonts w:ascii="Arial" w:eastAsia="Times New Roman" w:hAnsi="Arial" w:cs="Arial"/>
          <w:sz w:val="26"/>
          <w:szCs w:val="26"/>
        </w:rPr>
        <w:t xml:space="preserve">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lastRenderedPageBreak/>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 xml:space="preserve">Постановление Правительства РФ от 25 марта 2015 г. N 272 </w:t>
      </w:r>
      <w:r w:rsidR="009E4E55">
        <w:rPr>
          <w:rFonts w:ascii="Arial" w:eastAsia="Times New Roman" w:hAnsi="Arial" w:cs="Arial"/>
          <w:sz w:val="26"/>
          <w:szCs w:val="26"/>
          <w:lang w:eastAsia="ru-RU"/>
        </w:rPr>
        <w:t>«</w:t>
      </w:r>
      <w:r w:rsidR="00940050" w:rsidRPr="00C97700">
        <w:rPr>
          <w:rFonts w:ascii="Arial" w:eastAsia="Times New Roman" w:hAnsi="Arial" w:cs="Arial"/>
          <w:sz w:val="26"/>
          <w:szCs w:val="26"/>
          <w:lang w:eastAsia="ru-RU"/>
        </w:rPr>
        <w:t>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r w:rsidR="009E4E55">
        <w:rPr>
          <w:rFonts w:ascii="Arial" w:eastAsia="Times New Roman" w:hAnsi="Arial" w:cs="Arial"/>
          <w:sz w:val="26"/>
          <w:szCs w:val="26"/>
          <w:lang w:eastAsia="ru-RU"/>
        </w:rPr>
        <w:t>»</w:t>
      </w:r>
      <w:r w:rsidR="00940050" w:rsidRPr="00C97700">
        <w:rPr>
          <w:rFonts w:ascii="Arial" w:eastAsia="Times New Roman" w:hAnsi="Arial" w:cs="Arial"/>
          <w:sz w:val="26"/>
          <w:szCs w:val="26"/>
          <w:lang w:eastAsia="ru-RU"/>
        </w:rPr>
        <w:t>.</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390BB3">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058BC"/>
    <w:rsid w:val="000353AF"/>
    <w:rsid w:val="000626EF"/>
    <w:rsid w:val="000675A0"/>
    <w:rsid w:val="00074F6A"/>
    <w:rsid w:val="000774C3"/>
    <w:rsid w:val="00077CB3"/>
    <w:rsid w:val="00095864"/>
    <w:rsid w:val="000A645C"/>
    <w:rsid w:val="000E5EC2"/>
    <w:rsid w:val="00126E2D"/>
    <w:rsid w:val="00142AA2"/>
    <w:rsid w:val="00143033"/>
    <w:rsid w:val="00144C55"/>
    <w:rsid w:val="00161AB5"/>
    <w:rsid w:val="00177704"/>
    <w:rsid w:val="00184335"/>
    <w:rsid w:val="001A44AB"/>
    <w:rsid w:val="001B2700"/>
    <w:rsid w:val="001C3405"/>
    <w:rsid w:val="001E149D"/>
    <w:rsid w:val="00202131"/>
    <w:rsid w:val="00203624"/>
    <w:rsid w:val="002216E5"/>
    <w:rsid w:val="0022608A"/>
    <w:rsid w:val="00230755"/>
    <w:rsid w:val="00242799"/>
    <w:rsid w:val="00252989"/>
    <w:rsid w:val="00262115"/>
    <w:rsid w:val="002647B8"/>
    <w:rsid w:val="00277DDD"/>
    <w:rsid w:val="002828BA"/>
    <w:rsid w:val="00287DF5"/>
    <w:rsid w:val="002A0901"/>
    <w:rsid w:val="002D52B3"/>
    <w:rsid w:val="002E4E0A"/>
    <w:rsid w:val="002E56B2"/>
    <w:rsid w:val="002E5939"/>
    <w:rsid w:val="002F70C7"/>
    <w:rsid w:val="003116AB"/>
    <w:rsid w:val="003125E1"/>
    <w:rsid w:val="00333A03"/>
    <w:rsid w:val="00336350"/>
    <w:rsid w:val="0036017F"/>
    <w:rsid w:val="003618A6"/>
    <w:rsid w:val="00364FF0"/>
    <w:rsid w:val="00372C42"/>
    <w:rsid w:val="00374206"/>
    <w:rsid w:val="003853D5"/>
    <w:rsid w:val="003860CD"/>
    <w:rsid w:val="00390BB3"/>
    <w:rsid w:val="00391CE6"/>
    <w:rsid w:val="00396BA9"/>
    <w:rsid w:val="004009E6"/>
    <w:rsid w:val="00400E8C"/>
    <w:rsid w:val="00405F82"/>
    <w:rsid w:val="004065A5"/>
    <w:rsid w:val="00412AEC"/>
    <w:rsid w:val="00425807"/>
    <w:rsid w:val="00427E94"/>
    <w:rsid w:val="00430584"/>
    <w:rsid w:val="004460A8"/>
    <w:rsid w:val="00452CB3"/>
    <w:rsid w:val="00477409"/>
    <w:rsid w:val="004779E5"/>
    <w:rsid w:val="00497E1C"/>
    <w:rsid w:val="004A1866"/>
    <w:rsid w:val="004A1FC3"/>
    <w:rsid w:val="004B1942"/>
    <w:rsid w:val="004B1BE8"/>
    <w:rsid w:val="004F32C9"/>
    <w:rsid w:val="005238D4"/>
    <w:rsid w:val="005257B5"/>
    <w:rsid w:val="00526492"/>
    <w:rsid w:val="005402E6"/>
    <w:rsid w:val="00547D9A"/>
    <w:rsid w:val="00596636"/>
    <w:rsid w:val="005A1871"/>
    <w:rsid w:val="005C07C1"/>
    <w:rsid w:val="005C75D9"/>
    <w:rsid w:val="00602069"/>
    <w:rsid w:val="00606AB6"/>
    <w:rsid w:val="006137B8"/>
    <w:rsid w:val="00630966"/>
    <w:rsid w:val="00655D89"/>
    <w:rsid w:val="0065643A"/>
    <w:rsid w:val="006666AB"/>
    <w:rsid w:val="0067467F"/>
    <w:rsid w:val="00697DD9"/>
    <w:rsid w:val="006A2C27"/>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2524A"/>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4E55"/>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3EE"/>
    <w:rsid w:val="00B21DC3"/>
    <w:rsid w:val="00B46727"/>
    <w:rsid w:val="00B84C8D"/>
    <w:rsid w:val="00B9367C"/>
    <w:rsid w:val="00BC3679"/>
    <w:rsid w:val="00BC3942"/>
    <w:rsid w:val="00BC5C80"/>
    <w:rsid w:val="00C07162"/>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5DC3"/>
    <w:rsid w:val="00D87C2D"/>
    <w:rsid w:val="00D97E15"/>
    <w:rsid w:val="00DA424F"/>
    <w:rsid w:val="00DC0348"/>
    <w:rsid w:val="00DD1241"/>
    <w:rsid w:val="00DD1E03"/>
    <w:rsid w:val="00DD48D8"/>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07E1D"/>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DD48D8"/>
    <w:pPr>
      <w:spacing w:after="0" w:line="240" w:lineRule="auto"/>
    </w:pPr>
  </w:style>
  <w:style w:type="character" w:styleId="ac">
    <w:name w:val="Strong"/>
    <w:basedOn w:val="a0"/>
    <w:uiPriority w:val="22"/>
    <w:qFormat/>
    <w:rsid w:val="00DD48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D7BA7-1E71-46A0-A4D3-2E368C56F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2506</TotalTime>
  <Pages>12</Pages>
  <Words>3611</Words>
  <Characters>20584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159</cp:revision>
  <cp:lastPrinted>2020-09-08T11:22:00Z</cp:lastPrinted>
  <dcterms:created xsi:type="dcterms:W3CDTF">2016-10-11T09:12:00Z</dcterms:created>
  <dcterms:modified xsi:type="dcterms:W3CDTF">2020-09-09T11:38:00Z</dcterms:modified>
</cp:coreProperties>
</file>