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E2CC8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E2CC8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E2CC8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1591DC14" w14:textId="77777777" w:rsidR="009C07A2" w:rsidRPr="000E2CC8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0E2CC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Муниципальное образование</w:t>
                  </w:r>
                </w:p>
                <w:p w14:paraId="17B4A005" w14:textId="77777777" w:rsidR="009C07A2" w:rsidRPr="000E2CC8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0E2CC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076B8E80" w14:textId="77777777" w:rsidR="009C07A2" w:rsidRPr="000E2CC8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0E2CC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Нефтеюганского муниципального района</w:t>
                  </w:r>
                </w:p>
                <w:p w14:paraId="44467E32" w14:textId="77777777" w:rsidR="009C07A2" w:rsidRPr="000E2CC8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0E2CC8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0E2CC8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46833626" w14:textId="77777777" w:rsidR="000B0A8A" w:rsidRPr="000E2CC8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0E2CC8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АДМИНИСТРАЦИЯ</w:t>
                  </w:r>
                </w:p>
                <w:p w14:paraId="32C12CB8" w14:textId="77777777" w:rsidR="00E72795" w:rsidRPr="000E2CC8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0E2CC8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ГОРОДСКОГО ПОСЕЛЕНИЯ ПОЙКОВСКИЙ</w:t>
                  </w:r>
                </w:p>
                <w:p w14:paraId="7FE1C5C6" w14:textId="77777777" w:rsidR="00950995" w:rsidRPr="000E2CC8" w:rsidRDefault="00950995" w:rsidP="00E72795">
                  <w:pPr>
                    <w:pStyle w:val="1"/>
                    <w:rPr>
                      <w:bCs/>
                      <w:sz w:val="26"/>
                      <w:szCs w:val="26"/>
                    </w:rPr>
                  </w:pPr>
                </w:p>
                <w:p w14:paraId="3F9F05F1" w14:textId="77EACEC8" w:rsidR="00E72795" w:rsidRPr="000E2CC8" w:rsidRDefault="00957345" w:rsidP="00E72795">
                  <w:pPr>
                    <w:pStyle w:val="1"/>
                    <w:rPr>
                      <w:bCs/>
                      <w:sz w:val="26"/>
                      <w:szCs w:val="26"/>
                    </w:rPr>
                  </w:pPr>
                  <w:r w:rsidRPr="000E2CC8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E72795" w:rsidRPr="000E2CC8">
                    <w:rPr>
                      <w:bCs/>
                      <w:sz w:val="26"/>
                      <w:szCs w:val="26"/>
                    </w:rPr>
                    <w:t>ПОСТАНОВЛЕНИ</w:t>
                  </w:r>
                  <w:r w:rsidR="009E3B4B" w:rsidRPr="000E2CC8">
                    <w:rPr>
                      <w:bCs/>
                      <w:sz w:val="26"/>
                      <w:szCs w:val="26"/>
                    </w:rPr>
                    <w:t>Е</w:t>
                  </w:r>
                </w:p>
                <w:p w14:paraId="52B3CC23" w14:textId="77777777" w:rsidR="00E72795" w:rsidRPr="000E2CC8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5D585E4A" w:rsidR="00E72795" w:rsidRPr="000E2CC8" w:rsidRDefault="000E2CC8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806E25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26.10.2021</w:t>
                  </w:r>
                  <w:r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</w:t>
                  </w:r>
                  <w:r w:rsidR="00B62275"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 w:rsidR="00E72795"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Pr="00806E25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u w:val="single"/>
                    </w:rPr>
                    <w:t>544-п</w:t>
                  </w:r>
                </w:p>
                <w:p w14:paraId="004B65ED" w14:textId="77777777" w:rsidR="00E72795" w:rsidRPr="000E2CC8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0E2CC8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E2CC8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0E2CC8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0E2CC8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0E2CC8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0E2CC8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0E2CC8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E2CC8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7D0A541A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>,  от 05.10.2021 № 514-п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официального 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22626E9" w14:textId="77777777" w:rsidR="000E2CC8" w:rsidRDefault="000E2CC8" w:rsidP="000E2CC8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794967" w14:textId="4DA8D103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 за выполнением </w:t>
            </w:r>
            <w:r w:rsidR="009E3B4B">
              <w:rPr>
                <w:rFonts w:ascii="Times New Roman" w:hAnsi="Times New Roman" w:cs="Times New Roman"/>
                <w:sz w:val="26"/>
                <w:szCs w:val="26"/>
              </w:rPr>
              <w:t>постановления оставляю за собой.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7808D4E0" w:rsidR="00253315" w:rsidRPr="004121F9" w:rsidRDefault="009E3B4B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 Бородина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D08AD1" w14:textId="77777777" w:rsidR="001B7E91" w:rsidRPr="004121F9" w:rsidRDefault="001B7E91" w:rsidP="00661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3B156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57F3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17F047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6995F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AA9A6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BB06" w14:textId="77777777" w:rsidR="009E3B4B" w:rsidRDefault="009E3B4B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40C47C6" w14:textId="2CAF6CF2" w:rsidR="00661FF1" w:rsidRPr="001F0568" w:rsidRDefault="009E3B4B" w:rsidP="000E2CC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  <w:p w14:paraId="53384EF3" w14:textId="0A702AED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3604C114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</w:t>
            </w:r>
            <w:r w:rsidR="00806E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26.10.2021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 №_</w:t>
            </w:r>
            <w:r w:rsidR="00806E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544-п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  <w:bookmarkStart w:id="0" w:name="_GoBack"/>
            <w:bookmarkEnd w:id="0"/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806E25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806E25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806E25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806E25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806E25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806E25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806E25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806E25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806E25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806E25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806E25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806E25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2BEEABEA" w:rsidR="000335E1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3C27E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16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70628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423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70628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64644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0DF4C3B1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E92D2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70628E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178,86205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CBE20B1" w:rsidR="00851E2F" w:rsidRPr="004121F9" w:rsidRDefault="003C27E2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45611CC4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957345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39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8 </w:t>
                  </w:r>
                  <w:r w:rsidR="0070628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576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70628E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64241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058F2444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36 </w:t>
                  </w:r>
                  <w:r w:rsidR="0070628E">
                    <w:rPr>
                      <w:rFonts w:ascii="Times New Roman" w:hAnsi="Times New Roman" w:cs="Times New Roman"/>
                      <w:sz w:val="26"/>
                      <w:szCs w:val="26"/>
                    </w:rPr>
                    <w:t>662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 w:rsidR="0070628E">
                    <w:rPr>
                      <w:rFonts w:ascii="Times New Roman" w:hAnsi="Times New Roman" w:cs="Times New Roman"/>
                      <w:sz w:val="26"/>
                      <w:szCs w:val="26"/>
                    </w:rPr>
                    <w:t>17395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806E25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806E25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муниципальной программы по данному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05BEB" w14:textId="77777777" w:rsidR="00BE173E" w:rsidRDefault="00BE173E" w:rsidP="00F50008">
      <w:pPr>
        <w:spacing w:after="0" w:line="240" w:lineRule="auto"/>
      </w:pPr>
      <w:r>
        <w:separator/>
      </w:r>
    </w:p>
  </w:endnote>
  <w:endnote w:type="continuationSeparator" w:id="0">
    <w:p w14:paraId="734DAA73" w14:textId="77777777" w:rsidR="00BE173E" w:rsidRDefault="00BE173E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E63A0" w14:textId="77777777" w:rsidR="00BE173E" w:rsidRDefault="00BE173E" w:rsidP="00F50008">
      <w:pPr>
        <w:spacing w:after="0" w:line="240" w:lineRule="auto"/>
      </w:pPr>
      <w:r>
        <w:separator/>
      </w:r>
    </w:p>
  </w:footnote>
  <w:footnote w:type="continuationSeparator" w:id="0">
    <w:p w14:paraId="4557ADA1" w14:textId="77777777" w:rsidR="00BE173E" w:rsidRDefault="00BE173E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2CC8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054B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7A8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BE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0628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06E25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07A2"/>
    <w:rsid w:val="009C16A9"/>
    <w:rsid w:val="009D3591"/>
    <w:rsid w:val="009D60DD"/>
    <w:rsid w:val="009E3B4B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AF616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73E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78646-7D9E-4D55-827E-06627A66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9</cp:revision>
  <cp:lastPrinted>2021-10-25T04:47:00Z</cp:lastPrinted>
  <dcterms:created xsi:type="dcterms:W3CDTF">2021-09-21T10:47:00Z</dcterms:created>
  <dcterms:modified xsi:type="dcterms:W3CDTF">2021-11-17T11:48:00Z</dcterms:modified>
</cp:coreProperties>
</file>