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2B7ED2">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w:t>
      </w:r>
      <w:r w:rsidR="00AF12B4">
        <w:rPr>
          <w:rFonts w:ascii="Arial" w:eastAsia="Times New Roman" w:hAnsi="Arial" w:cs="Arial"/>
          <w:sz w:val="26"/>
          <w:szCs w:val="26"/>
          <w:u w:val="single"/>
          <w:lang w:eastAsia="ru-RU"/>
        </w:rPr>
        <w:t>05.03.2021</w:t>
      </w:r>
      <w:r w:rsidRPr="00886A9C">
        <w:rPr>
          <w:rFonts w:ascii="Arial" w:eastAsia="Times New Roman" w:hAnsi="Arial" w:cs="Arial"/>
          <w:sz w:val="26"/>
          <w:szCs w:val="26"/>
          <w:lang w:eastAsia="ru-RU"/>
        </w:rPr>
        <w:t>__                                                                                       №_</w:t>
      </w:r>
      <w:r w:rsidR="00AF12B4">
        <w:rPr>
          <w:rFonts w:ascii="Arial" w:eastAsia="Times New Roman" w:hAnsi="Arial" w:cs="Arial"/>
          <w:sz w:val="26"/>
          <w:szCs w:val="26"/>
          <w:u w:val="single"/>
          <w:lang w:eastAsia="ru-RU"/>
        </w:rPr>
        <w:t>85-п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w:t>
      </w:r>
      <w:r w:rsidR="001B7AEF">
        <w:rPr>
          <w:rFonts w:ascii="Arial" w:eastAsia="Times New Roman" w:hAnsi="Arial" w:cs="Arial"/>
          <w:sz w:val="24"/>
          <w:szCs w:val="24"/>
          <w:lang w:eastAsia="ru-RU"/>
        </w:rPr>
        <w:t>1</w:t>
      </w:r>
      <w:r w:rsidR="00D17509" w:rsidRPr="00396BA9">
        <w:rPr>
          <w:rFonts w:ascii="Arial" w:eastAsia="Times New Roman" w:hAnsi="Arial" w:cs="Arial"/>
          <w:sz w:val="24"/>
          <w:szCs w:val="24"/>
          <w:lang w:eastAsia="ru-RU"/>
        </w:rPr>
        <w:t>.10.20</w:t>
      </w:r>
      <w:r w:rsidR="001B7AEF">
        <w:rPr>
          <w:rFonts w:ascii="Arial" w:eastAsia="Times New Roman" w:hAnsi="Arial" w:cs="Arial"/>
          <w:sz w:val="24"/>
          <w:szCs w:val="24"/>
          <w:lang w:eastAsia="ru-RU"/>
        </w:rPr>
        <w:t>20</w:t>
      </w:r>
      <w:r w:rsidR="00D17509"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w:t>
      </w:r>
      <w:r w:rsidR="001B7AEF">
        <w:rPr>
          <w:rFonts w:ascii="Arial" w:eastAsia="Times New Roman" w:hAnsi="Arial" w:cs="Arial"/>
          <w:sz w:val="24"/>
          <w:szCs w:val="24"/>
          <w:lang w:eastAsia="ru-RU"/>
        </w:rPr>
        <w:t>92</w:t>
      </w:r>
      <w:r w:rsidR="00D17509"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w:t>
      </w:r>
      <w:r w:rsidR="001B7AEF">
        <w:rPr>
          <w:rFonts w:ascii="Arial" w:eastAsia="Times New Roman" w:hAnsi="Arial" w:cs="Arial"/>
          <w:sz w:val="24"/>
          <w:szCs w:val="24"/>
          <w:lang w:eastAsia="ru-RU"/>
        </w:rPr>
        <w:t xml:space="preserve"> </w:t>
      </w:r>
      <w:r w:rsidR="00126E2D" w:rsidRPr="00396BA9">
        <w:rPr>
          <w:rFonts w:ascii="Arial" w:eastAsia="Times New Roman" w:hAnsi="Arial" w:cs="Arial"/>
          <w:sz w:val="24"/>
          <w:szCs w:val="24"/>
          <w:lang w:eastAsia="ru-RU"/>
        </w:rPr>
        <w:t>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 xml:space="preserve">«Об утверждении перечня муниципальных программ городского поселения Пойковский» (в редакции от </w:t>
      </w:r>
      <w:r w:rsidR="001B7AEF">
        <w:rPr>
          <w:rFonts w:ascii="Arial" w:eastAsia="Times New Roman" w:hAnsi="Arial" w:cs="Arial"/>
          <w:sz w:val="24"/>
          <w:szCs w:val="24"/>
          <w:lang w:eastAsia="ru-RU"/>
        </w:rPr>
        <w:t>29</w:t>
      </w:r>
      <w:r w:rsidR="00126E2D" w:rsidRPr="00396BA9">
        <w:rPr>
          <w:rFonts w:ascii="Arial" w:eastAsia="Times New Roman" w:hAnsi="Arial" w:cs="Arial"/>
          <w:sz w:val="24"/>
          <w:szCs w:val="24"/>
          <w:lang w:eastAsia="ru-RU"/>
        </w:rPr>
        <w:t>.0</w:t>
      </w:r>
      <w:r w:rsidR="001B7AEF">
        <w:rPr>
          <w:rFonts w:ascii="Arial" w:eastAsia="Times New Roman" w:hAnsi="Arial" w:cs="Arial"/>
          <w:sz w:val="24"/>
          <w:szCs w:val="24"/>
          <w:lang w:eastAsia="ru-RU"/>
        </w:rPr>
        <w:t>9</w:t>
      </w:r>
      <w:r w:rsidR="00126E2D" w:rsidRPr="00396BA9">
        <w:rPr>
          <w:rFonts w:ascii="Arial" w:eastAsia="Times New Roman" w:hAnsi="Arial" w:cs="Arial"/>
          <w:sz w:val="24"/>
          <w:szCs w:val="24"/>
          <w:lang w:eastAsia="ru-RU"/>
        </w:rPr>
        <w:t>.20</w:t>
      </w:r>
      <w:r w:rsidR="001B7AEF">
        <w:rPr>
          <w:rFonts w:ascii="Arial" w:eastAsia="Times New Roman" w:hAnsi="Arial" w:cs="Arial"/>
          <w:sz w:val="24"/>
          <w:szCs w:val="24"/>
          <w:lang w:eastAsia="ru-RU"/>
        </w:rPr>
        <w:t>20</w:t>
      </w:r>
      <w:r w:rsidR="00126E2D"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1B7AEF">
        <w:rPr>
          <w:rFonts w:ascii="Arial" w:eastAsia="Times New Roman" w:hAnsi="Arial" w:cs="Arial"/>
          <w:sz w:val="24"/>
          <w:szCs w:val="24"/>
          <w:lang w:eastAsia="ru-RU"/>
        </w:rPr>
        <w:t>432</w:t>
      </w:r>
      <w:r w:rsidR="00126E2D"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0C6780"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 xml:space="preserve">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w:t>
      </w:r>
      <w:r w:rsidRPr="000C6780">
        <w:rPr>
          <w:rFonts w:ascii="Arial" w:eastAsia="Times New Roman" w:hAnsi="Arial" w:cs="Arial"/>
          <w:sz w:val="24"/>
          <w:szCs w:val="24"/>
          <w:lang w:eastAsia="ru-RU"/>
        </w:rPr>
        <w:t>(в редакции от 29.12.2018 №</w:t>
      </w:r>
      <w:r w:rsidR="003618A6" w:rsidRPr="000C6780">
        <w:rPr>
          <w:rFonts w:ascii="Arial" w:eastAsia="Times New Roman" w:hAnsi="Arial" w:cs="Arial"/>
          <w:sz w:val="24"/>
          <w:szCs w:val="24"/>
          <w:lang w:eastAsia="ru-RU"/>
        </w:rPr>
        <w:t> </w:t>
      </w:r>
      <w:r w:rsidRPr="000C6780">
        <w:rPr>
          <w:rFonts w:ascii="Arial" w:eastAsia="Times New Roman" w:hAnsi="Arial" w:cs="Arial"/>
          <w:sz w:val="24"/>
          <w:szCs w:val="24"/>
          <w:lang w:eastAsia="ru-RU"/>
        </w:rPr>
        <w:t>924-п</w:t>
      </w:r>
      <w:r w:rsidR="009E27CE" w:rsidRPr="000C6780">
        <w:rPr>
          <w:rFonts w:ascii="Arial" w:eastAsia="Times New Roman" w:hAnsi="Arial" w:cs="Arial"/>
          <w:sz w:val="24"/>
          <w:szCs w:val="24"/>
          <w:lang w:eastAsia="ru-RU"/>
        </w:rPr>
        <w:t>, от 29.03.2019 № 232-п</w:t>
      </w:r>
      <w:r w:rsidR="003618A6" w:rsidRPr="000C6780">
        <w:rPr>
          <w:rFonts w:ascii="Arial" w:eastAsia="Times New Roman" w:hAnsi="Arial" w:cs="Arial"/>
          <w:sz w:val="24"/>
          <w:szCs w:val="24"/>
          <w:lang w:eastAsia="ru-RU"/>
        </w:rPr>
        <w:t>, от 11.09.2019 № 548-п</w:t>
      </w:r>
      <w:r w:rsidR="00CE20A3" w:rsidRPr="000C6780">
        <w:rPr>
          <w:rFonts w:ascii="Arial" w:eastAsia="Times New Roman" w:hAnsi="Arial" w:cs="Arial"/>
          <w:sz w:val="24"/>
          <w:szCs w:val="24"/>
          <w:lang w:eastAsia="ru-RU"/>
        </w:rPr>
        <w:t>, от 09.10.2019 № 619-п</w:t>
      </w:r>
      <w:r w:rsidR="000C6780" w:rsidRPr="000C6780">
        <w:rPr>
          <w:rFonts w:ascii="Arial" w:eastAsia="Times New Roman" w:hAnsi="Arial" w:cs="Arial"/>
          <w:sz w:val="24"/>
          <w:szCs w:val="24"/>
          <w:lang w:eastAsia="ru-RU"/>
        </w:rPr>
        <w:t>, от 27.12.2019 № 803-п, от 10.06.2020 № 236-п, от 09.09.2020 № 401-п, от 08.10.2020 № 451-п</w:t>
      </w:r>
      <w:r w:rsidR="004411F2">
        <w:rPr>
          <w:rFonts w:ascii="Arial" w:eastAsia="Times New Roman" w:hAnsi="Arial" w:cs="Arial"/>
          <w:sz w:val="24"/>
          <w:szCs w:val="24"/>
          <w:lang w:eastAsia="ru-RU"/>
        </w:rPr>
        <w:t>, от 29.12.2020 № 786-п</w:t>
      </w:r>
      <w:r w:rsidRPr="000C6780">
        <w:rPr>
          <w:rFonts w:ascii="Arial" w:eastAsia="Times New Roman" w:hAnsi="Arial" w:cs="Arial"/>
          <w:sz w:val="24"/>
          <w:szCs w:val="24"/>
          <w:lang w:eastAsia="ru-RU"/>
        </w:rPr>
        <w:t xml:space="preserve">) </w:t>
      </w:r>
      <w:r w:rsidR="000C6780" w:rsidRPr="000C6780">
        <w:rPr>
          <w:rFonts w:ascii="Arial" w:eastAsia="Times New Roman" w:hAnsi="Arial" w:cs="Arial"/>
          <w:sz w:val="24"/>
          <w:szCs w:val="24"/>
          <w:lang w:eastAsia="ru-RU"/>
        </w:rPr>
        <w:t>изложив в новой редакции согласно приложению к настоящему постановлению.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A69F0">
        <w:rPr>
          <w:rFonts w:ascii="Arial" w:eastAsia="Times New Roman" w:hAnsi="Arial" w:cs="Arial"/>
          <w:sz w:val="24"/>
          <w:szCs w:val="24"/>
          <w:lang w:eastAsia="ru-RU"/>
        </w:rPr>
        <w:t>Доронину Н.М.</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450A1" w:rsidRDefault="00B84C8D" w:rsidP="001B7AEF">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Глав</w:t>
      </w:r>
      <w:r w:rsidR="001B7AEF">
        <w:rPr>
          <w:rFonts w:ascii="Arial" w:hAnsi="Arial" w:cs="Arial"/>
          <w:sz w:val="26"/>
          <w:szCs w:val="26"/>
        </w:rPr>
        <w:t>а</w:t>
      </w:r>
      <w:r w:rsidRPr="00773BDB">
        <w:rPr>
          <w:rFonts w:ascii="Arial" w:hAnsi="Arial" w:cs="Arial"/>
          <w:sz w:val="26"/>
          <w:szCs w:val="26"/>
        </w:rPr>
        <w:t xml:space="preserve"> городского поселения  </w:t>
      </w:r>
      <w:r>
        <w:rPr>
          <w:rFonts w:ascii="Arial" w:hAnsi="Arial" w:cs="Arial"/>
          <w:sz w:val="26"/>
          <w:szCs w:val="26"/>
        </w:rPr>
        <w:t xml:space="preserve">                                                     </w:t>
      </w:r>
      <w:r w:rsidR="001B7AEF">
        <w:rPr>
          <w:rFonts w:ascii="Arial" w:hAnsi="Arial" w:cs="Arial"/>
          <w:sz w:val="26"/>
          <w:szCs w:val="26"/>
        </w:rPr>
        <w:t>А.А. Бочко</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w:t>
      </w:r>
      <w:bookmarkStart w:id="0" w:name="_GoBack"/>
      <w:bookmarkEnd w:id="0"/>
      <w:r w:rsidR="002E4E0A" w:rsidRPr="00C97700">
        <w:rPr>
          <w:rFonts w:ascii="Arial" w:eastAsia="Times New Roman" w:hAnsi="Arial" w:cs="Arial"/>
          <w:b/>
          <w:sz w:val="26"/>
          <w:szCs w:val="26"/>
          <w:lang w:eastAsia="ru-RU"/>
        </w:rPr>
        <w:t>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w:t>
      </w:r>
      <w:r w:rsidRPr="00C97700">
        <w:rPr>
          <w:rFonts w:ascii="Arial" w:eastAsia="Times New Roman" w:hAnsi="Arial" w:cs="Arial"/>
          <w:sz w:val="26"/>
          <w:szCs w:val="26"/>
          <w:lang w:eastAsia="ru-RU"/>
        </w:rPr>
        <w:lastRenderedPageBreak/>
        <w:t>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 xml:space="preserve">пасности и защита </w:t>
      </w:r>
      <w:r w:rsidR="007178EF" w:rsidRPr="00C97700">
        <w:rPr>
          <w:rFonts w:ascii="Arial" w:eastAsia="Times New Roman" w:hAnsi="Arial" w:cs="Arial"/>
          <w:sz w:val="26"/>
          <w:szCs w:val="26"/>
          <w:lang w:eastAsia="ru-RU"/>
        </w:rPr>
        <w:lastRenderedPageBreak/>
        <w:t>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w:t>
      </w:r>
      <w:r w:rsidR="002828BA" w:rsidRPr="00C97700">
        <w:rPr>
          <w:rFonts w:ascii="Arial" w:eastAsia="Times New Roman" w:hAnsi="Arial" w:cs="Arial"/>
          <w:sz w:val="26"/>
          <w:szCs w:val="26"/>
          <w:lang w:eastAsia="ru-RU"/>
        </w:rPr>
        <w:lastRenderedPageBreak/>
        <w:t>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1AF2"/>
    <w:rsid w:val="000774C3"/>
    <w:rsid w:val="00095864"/>
    <w:rsid w:val="000A645C"/>
    <w:rsid w:val="000C6780"/>
    <w:rsid w:val="000E5EC2"/>
    <w:rsid w:val="00126E2D"/>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35C3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8552A"/>
    <w:rsid w:val="00AA133D"/>
    <w:rsid w:val="00AA260F"/>
    <w:rsid w:val="00AB4237"/>
    <w:rsid w:val="00AC1110"/>
    <w:rsid w:val="00AD249F"/>
    <w:rsid w:val="00AD7914"/>
    <w:rsid w:val="00AE3AB8"/>
    <w:rsid w:val="00AF12B4"/>
    <w:rsid w:val="00B031F0"/>
    <w:rsid w:val="00B21DC3"/>
    <w:rsid w:val="00B46727"/>
    <w:rsid w:val="00B84C8D"/>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2417</TotalTime>
  <Pages>8</Pages>
  <Words>2927</Words>
  <Characters>16688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154</cp:revision>
  <cp:lastPrinted>2021-03-04T07:24:00Z</cp:lastPrinted>
  <dcterms:created xsi:type="dcterms:W3CDTF">2016-10-11T09:12:00Z</dcterms:created>
  <dcterms:modified xsi:type="dcterms:W3CDTF">2021-03-09T12:12:00Z</dcterms:modified>
</cp:coreProperties>
</file>